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9F" w:rsidRPr="00422A9F" w:rsidRDefault="00422A9F" w:rsidP="00422A9F">
      <w:pPr>
        <w:pStyle w:val="2"/>
        <w:spacing w:before="0" w:after="240" w:line="240" w:lineRule="auto"/>
        <w:jc w:val="left"/>
        <w:rPr>
          <w:rFonts w:asciiTheme="majorHAnsi" w:hAnsiTheme="majorHAnsi" w:cstheme="minorHAnsi"/>
        </w:rPr>
      </w:pPr>
      <w:bookmarkStart w:id="0" w:name="_Toc357986722"/>
      <w:r w:rsidRPr="00422A9F">
        <w:rPr>
          <w:rFonts w:asciiTheme="majorHAnsi" w:hAnsiTheme="majorHAnsi" w:cstheme="minorHAnsi"/>
        </w:rPr>
        <w:t>Анализ финансового состояния компании ЗАО «Управление механизации №276»</w:t>
      </w:r>
      <w:bookmarkEnd w:id="0"/>
    </w:p>
    <w:p w:rsidR="00422A9F" w:rsidRPr="003F0C96" w:rsidRDefault="00422A9F" w:rsidP="003F0C96">
      <w:pPr>
        <w:pStyle w:val="3"/>
        <w:jc w:val="left"/>
        <w:rPr>
          <w:rFonts w:asciiTheme="minorHAnsi" w:hAnsiTheme="minorHAnsi" w:cstheme="minorHAnsi"/>
          <w:sz w:val="24"/>
          <w:szCs w:val="24"/>
        </w:rPr>
      </w:pPr>
      <w:bookmarkStart w:id="1" w:name="_Toc357986723"/>
      <w:r w:rsidRPr="003F0C96">
        <w:rPr>
          <w:rFonts w:asciiTheme="minorHAnsi" w:hAnsiTheme="minorHAnsi" w:cstheme="minorHAnsi"/>
          <w:sz w:val="24"/>
          <w:szCs w:val="24"/>
        </w:rPr>
        <w:t>Структура баланса</w:t>
      </w:r>
      <w:bookmarkEnd w:id="1"/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>Финансовый анализ ЗАО «Управление механизации №276» проводился по данным официаль</w:t>
      </w:r>
      <w:bookmarkStart w:id="2" w:name="_GoBack"/>
      <w:bookmarkEnd w:id="2"/>
      <w:r w:rsidRPr="00422A9F">
        <w:rPr>
          <w:rFonts w:asciiTheme="minorHAnsi" w:hAnsiTheme="minorHAnsi" w:cstheme="minorHAnsi"/>
          <w:sz w:val="22"/>
        </w:rPr>
        <w:t>ной бухгалтерской отчетности за пять последних лет (31.12.2008г., 31.12.2009г., 31.12.2010г., 31.12.2011г., 31.12.2012г.). Балансы предприятия и отчеты о прибылях и убытках за анализируемый период находятся в приложениях 1 – 3.</w:t>
      </w:r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 xml:space="preserve">На протяжении рассматриваемого периода наблюдается  увеличение совокупных активов (пассивов) (Рис. 1). Данная тенденция рассматривается  как позитивная. </w:t>
      </w:r>
    </w:p>
    <w:p w:rsidR="00422A9F" w:rsidRDefault="00422A9F" w:rsidP="00422A9F">
      <w:pPr>
        <w:spacing w:after="0"/>
        <w:jc w:val="left"/>
      </w:pPr>
      <w:r>
        <w:rPr>
          <w:noProof/>
        </w:rPr>
        <w:drawing>
          <wp:inline distT="0" distB="0" distL="0" distR="0" wp14:anchorId="30EAA456" wp14:editId="34AF5308">
            <wp:extent cx="5229225" cy="245745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2A9F" w:rsidRPr="003F0C96" w:rsidRDefault="00422A9F" w:rsidP="003F0C96">
      <w:pPr>
        <w:spacing w:after="120" w:line="240" w:lineRule="auto"/>
        <w:rPr>
          <w:rFonts w:asciiTheme="minorHAnsi" w:hAnsiTheme="minorHAnsi" w:cstheme="minorHAnsi"/>
          <w:b/>
          <w:sz w:val="22"/>
        </w:rPr>
      </w:pPr>
      <w:r w:rsidRPr="003F0C96">
        <w:rPr>
          <w:rFonts w:asciiTheme="minorHAnsi" w:hAnsiTheme="minorHAnsi" w:cstheme="minorHAnsi"/>
          <w:b/>
          <w:sz w:val="22"/>
        </w:rPr>
        <w:t>Рис. 1. Структура актива (тыс. руб.)</w:t>
      </w:r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>Показатели внеоборотных активов компании демонстрируют динамику изменения, аналогичную динамике изменения совокупных активов, то есть падение в 2009 году и рост на протяжении периода 31.12.2009г. – 31.12.2012г. Оборотные активы уменьшаются на протяжении всего исследуемого периода (кроме небольшого роста на 5% в 2012 году). Доля оборотных активов в структуре совокупных активов так же снижается на протяжении пяти последних лет. Такая тенденция является негативной и говорит о сокращении хозяйственной активности компании.</w:t>
      </w:r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 xml:space="preserve">В структуре оборотных активов наибольший удельный вес занимает долгосрочная дебиторская задолженность 20 – 30% в структуре активов, при этом доля наиболее ликвидных активов (денежные средства и краткосрочные финансовые вложения) в структуре активов на протяжении всего исследуемого составляет не более десятых долей процента. В структуре активов отсутствует краткосрочная дебиторская задолженность. </w:t>
      </w:r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 xml:space="preserve">Показатель собственных средств компании (рис. </w:t>
      </w:r>
      <w:r>
        <w:rPr>
          <w:rFonts w:asciiTheme="minorHAnsi" w:hAnsiTheme="minorHAnsi" w:cstheme="minorHAnsi"/>
          <w:sz w:val="22"/>
        </w:rPr>
        <w:t>2</w:t>
      </w:r>
      <w:r w:rsidRPr="00422A9F">
        <w:rPr>
          <w:rFonts w:asciiTheme="minorHAnsi" w:hAnsiTheme="minorHAnsi" w:cstheme="minorHAnsi"/>
          <w:sz w:val="22"/>
        </w:rPr>
        <w:t xml:space="preserve">) имеет тенденцию к росту в период с 31.12.2008г. по 31.12.2010г., но сильно снижается в 2011г. (на 34%) и в 2012г. остается примерно на таком же уровне. В составе обязательств компании долгосрочные обязательства занимают незначительную долю (менее 1% в течение всего исследуемого периода).  </w:t>
      </w:r>
    </w:p>
    <w:p w:rsidR="00422A9F" w:rsidRDefault="00422A9F" w:rsidP="00422A9F">
      <w:pPr>
        <w:spacing w:after="0"/>
      </w:pPr>
      <w:r>
        <w:rPr>
          <w:noProof/>
        </w:rPr>
        <w:lastRenderedPageBreak/>
        <w:drawing>
          <wp:inline distT="0" distB="0" distL="0" distR="0" wp14:anchorId="2BE2E3FE" wp14:editId="3A51410B">
            <wp:extent cx="5486400" cy="23622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2A9F" w:rsidRPr="003F0C96" w:rsidRDefault="00422A9F" w:rsidP="003F0C96">
      <w:pPr>
        <w:spacing w:after="120" w:line="240" w:lineRule="auto"/>
        <w:rPr>
          <w:rFonts w:asciiTheme="minorHAnsi" w:hAnsiTheme="minorHAnsi" w:cstheme="minorHAnsi"/>
          <w:b/>
          <w:sz w:val="22"/>
        </w:rPr>
      </w:pPr>
      <w:r w:rsidRPr="003F0C96">
        <w:rPr>
          <w:rFonts w:asciiTheme="minorHAnsi" w:hAnsiTheme="minorHAnsi" w:cstheme="minorHAnsi"/>
          <w:b/>
          <w:sz w:val="22"/>
        </w:rPr>
        <w:t>Рис. 2. Структура пассива (тыс. руб.)</w:t>
      </w:r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 xml:space="preserve">Текущие обязательства компании (Рис. </w:t>
      </w:r>
      <w:r>
        <w:rPr>
          <w:rFonts w:asciiTheme="minorHAnsi" w:hAnsiTheme="minorHAnsi" w:cstheme="minorHAnsi"/>
          <w:sz w:val="22"/>
        </w:rPr>
        <w:t>3</w:t>
      </w:r>
      <w:r w:rsidRPr="00422A9F">
        <w:rPr>
          <w:rFonts w:asciiTheme="minorHAnsi" w:hAnsiTheme="minorHAnsi" w:cstheme="minorHAnsi"/>
          <w:sz w:val="22"/>
        </w:rPr>
        <w:t xml:space="preserve">) существенно превышают ликвидные активы на протяжении всего исследуемого периода. </w:t>
      </w:r>
    </w:p>
    <w:p w:rsidR="00422A9F" w:rsidRDefault="00422A9F" w:rsidP="00422A9F">
      <w:r>
        <w:rPr>
          <w:noProof/>
        </w:rPr>
        <w:drawing>
          <wp:inline distT="0" distB="0" distL="0" distR="0" wp14:anchorId="1C82DAC2" wp14:editId="630F09DC">
            <wp:extent cx="5486400" cy="263842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2A9F" w:rsidRPr="003F0C96" w:rsidRDefault="00422A9F" w:rsidP="003F0C96">
      <w:pPr>
        <w:spacing w:after="120" w:line="240" w:lineRule="auto"/>
        <w:rPr>
          <w:rFonts w:asciiTheme="minorHAnsi" w:hAnsiTheme="minorHAnsi" w:cstheme="minorHAnsi"/>
          <w:b/>
          <w:sz w:val="22"/>
        </w:rPr>
      </w:pPr>
      <w:r w:rsidRPr="003F0C96">
        <w:rPr>
          <w:rFonts w:asciiTheme="minorHAnsi" w:hAnsiTheme="minorHAnsi" w:cstheme="minorHAnsi"/>
          <w:b/>
          <w:sz w:val="22"/>
        </w:rPr>
        <w:t>Рис. 3. Динамика отношения краткосрочных обязательств к ликвидным активам (тыс. руб.)</w:t>
      </w:r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 xml:space="preserve">Фактически у предприятия на протяжении всего периода отсутствуют ликвидные активы, и текущие обязательства не покрывались ликвидными активами. Данная ситуация говорит о том, что компанией активно привлекались внешние источники финансирования текущей деятельности, которые не покрывались ликвидными активами. Привлеченные средства были направлены на финансирование долгосрочной дебиторской  задолженности и вложены во </w:t>
      </w:r>
      <w:proofErr w:type="spellStart"/>
      <w:r w:rsidRPr="00422A9F">
        <w:rPr>
          <w:rFonts w:asciiTheme="minorHAnsi" w:hAnsiTheme="minorHAnsi" w:cstheme="minorHAnsi"/>
          <w:sz w:val="22"/>
        </w:rPr>
        <w:t>внеоборотные</w:t>
      </w:r>
      <w:proofErr w:type="spellEnd"/>
      <w:r w:rsidRPr="00422A9F">
        <w:rPr>
          <w:rFonts w:asciiTheme="minorHAnsi" w:hAnsiTheme="minorHAnsi" w:cstheme="minorHAnsi"/>
          <w:sz w:val="22"/>
        </w:rPr>
        <w:t xml:space="preserve"> активы.  Однако</w:t>
      </w:r>
      <w:proofErr w:type="gramStart"/>
      <w:r w:rsidRPr="00422A9F">
        <w:rPr>
          <w:rFonts w:asciiTheme="minorHAnsi" w:hAnsiTheme="minorHAnsi" w:cstheme="minorHAnsi"/>
          <w:sz w:val="22"/>
        </w:rPr>
        <w:t>,</w:t>
      </w:r>
      <w:proofErr w:type="gramEnd"/>
      <w:r w:rsidRPr="00422A9F">
        <w:rPr>
          <w:rFonts w:asciiTheme="minorHAnsi" w:hAnsiTheme="minorHAnsi" w:cstheme="minorHAnsi"/>
          <w:sz w:val="22"/>
        </w:rPr>
        <w:t xml:space="preserve"> данная структура активов и пассивов обусловлена характером деятельности компании, в качестве заказчика-застройщика, т.е. привлечение средств дольщиков для осуществления капитального строительства. </w:t>
      </w:r>
    </w:p>
    <w:p w:rsidR="00422A9F" w:rsidRPr="003F0C96" w:rsidRDefault="00422A9F" w:rsidP="003F0C96">
      <w:pPr>
        <w:pStyle w:val="3"/>
        <w:jc w:val="left"/>
        <w:rPr>
          <w:rFonts w:asciiTheme="minorHAnsi" w:hAnsiTheme="minorHAnsi" w:cstheme="minorHAnsi"/>
          <w:sz w:val="24"/>
          <w:szCs w:val="24"/>
        </w:rPr>
      </w:pPr>
      <w:bookmarkStart w:id="3" w:name="_Toc357986724"/>
      <w:r w:rsidRPr="003F0C96">
        <w:rPr>
          <w:rFonts w:asciiTheme="minorHAnsi" w:hAnsiTheme="minorHAnsi" w:cstheme="minorHAnsi"/>
          <w:sz w:val="24"/>
          <w:szCs w:val="24"/>
        </w:rPr>
        <w:t>Анализ финансовых результатов деятельности</w:t>
      </w:r>
      <w:bookmarkEnd w:id="3"/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 xml:space="preserve">Наибольший объем выручки (рис. </w:t>
      </w:r>
      <w:r>
        <w:rPr>
          <w:rFonts w:asciiTheme="minorHAnsi" w:hAnsiTheme="minorHAnsi" w:cstheme="minorHAnsi"/>
          <w:sz w:val="22"/>
        </w:rPr>
        <w:t>4</w:t>
      </w:r>
      <w:r w:rsidRPr="00422A9F">
        <w:rPr>
          <w:rFonts w:asciiTheme="minorHAnsi" w:hAnsiTheme="minorHAnsi" w:cstheme="minorHAnsi"/>
          <w:sz w:val="22"/>
        </w:rPr>
        <w:t xml:space="preserve">) </w:t>
      </w:r>
      <w:proofErr w:type="gramStart"/>
      <w:r w:rsidRPr="00422A9F">
        <w:rPr>
          <w:rFonts w:asciiTheme="minorHAnsi" w:hAnsiTheme="minorHAnsi" w:cstheme="minorHAnsi"/>
          <w:sz w:val="22"/>
        </w:rPr>
        <w:t>был</w:t>
      </w:r>
      <w:proofErr w:type="gramEnd"/>
      <w:r w:rsidRPr="00422A9F">
        <w:rPr>
          <w:rFonts w:asciiTheme="minorHAnsi" w:hAnsiTheme="minorHAnsi" w:cstheme="minorHAnsi"/>
          <w:sz w:val="22"/>
        </w:rPr>
        <w:t xml:space="preserve"> достигнут в 2009 году - 128 835  тыс. руб. Объем выручки полученной в 2009 году в 2,2 раза выше, чем в 2008 году (57407,0 тыс. руб.). Показатели выручки в 2010 году существенно ниже, чем в предыдущие периоды. За 12 месяцев 2010 года выручка компании в 4,2 раз ниже выручки, полученной в 2009 году (30741 тыс. руб.), при этом, показатель выручки за 2011 года составил 39606 тыс. руб., а в 2012 – 878 тыс. руб.</w:t>
      </w:r>
    </w:p>
    <w:p w:rsidR="00422A9F" w:rsidRDefault="00422A9F" w:rsidP="00422A9F">
      <w:pPr>
        <w:spacing w:after="0"/>
      </w:pPr>
      <w:r>
        <w:rPr>
          <w:noProof/>
        </w:rPr>
        <w:lastRenderedPageBreak/>
        <w:drawing>
          <wp:inline distT="0" distB="0" distL="0" distR="0" wp14:anchorId="2CCD9781" wp14:editId="6639FBEA">
            <wp:extent cx="5438775" cy="24955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2A9F" w:rsidRPr="003F0C96" w:rsidRDefault="00422A9F" w:rsidP="003F0C96">
      <w:pPr>
        <w:spacing w:after="120" w:line="240" w:lineRule="auto"/>
        <w:rPr>
          <w:rFonts w:asciiTheme="minorHAnsi" w:hAnsiTheme="minorHAnsi" w:cstheme="minorHAnsi"/>
          <w:b/>
          <w:sz w:val="22"/>
        </w:rPr>
      </w:pPr>
      <w:r w:rsidRPr="003F0C96">
        <w:rPr>
          <w:rFonts w:asciiTheme="minorHAnsi" w:hAnsiTheme="minorHAnsi" w:cstheme="minorHAnsi"/>
          <w:b/>
          <w:sz w:val="22"/>
        </w:rPr>
        <w:t>Рис. 4. Динамика изменения выручки и себестоимости продукции (тыс. руб.)</w:t>
      </w:r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 xml:space="preserve">Указанная динамика показателей выручки обуславливает и динамику изменения финансового результата от деятельности компании (рис.5).  Деятельность предприятия становится убыточной по итогам деятельности за 2010 год. </w:t>
      </w:r>
      <w:proofErr w:type="gramStart"/>
      <w:r w:rsidRPr="00422A9F">
        <w:rPr>
          <w:rFonts w:asciiTheme="minorHAnsi" w:hAnsiTheme="minorHAnsi" w:cstheme="minorHAnsi"/>
          <w:sz w:val="22"/>
        </w:rPr>
        <w:t>В 2008 году прибыль от деятельности составила – 1529 тыс. руб., в 2009 году – 9455 тыс. руб.  Величина убытка по итогам деятельности за 2010 год  составила - 569 тыс. руб. Финансовый результат по итогам деятельности за 2011 год характеризуется прибылью в размере 187 тыс. руб. В 2012 году прибыль составила 91 тыс. руб.</w:t>
      </w:r>
      <w:proofErr w:type="gramEnd"/>
    </w:p>
    <w:p w:rsidR="00422A9F" w:rsidRDefault="00422A9F" w:rsidP="00422A9F">
      <w:pPr>
        <w:spacing w:after="0"/>
      </w:pPr>
      <w:r>
        <w:rPr>
          <w:noProof/>
        </w:rPr>
        <w:drawing>
          <wp:inline distT="0" distB="0" distL="0" distR="0" wp14:anchorId="4FC0EDE5" wp14:editId="377358A3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2A9F" w:rsidRPr="003F0C96" w:rsidRDefault="00422A9F" w:rsidP="003F0C96">
      <w:pPr>
        <w:spacing w:after="120" w:line="240" w:lineRule="auto"/>
        <w:rPr>
          <w:rFonts w:asciiTheme="minorHAnsi" w:hAnsiTheme="minorHAnsi" w:cstheme="minorHAnsi"/>
          <w:b/>
          <w:sz w:val="22"/>
        </w:rPr>
      </w:pPr>
      <w:r w:rsidRPr="003F0C96">
        <w:rPr>
          <w:rFonts w:asciiTheme="minorHAnsi" w:hAnsiTheme="minorHAnsi" w:cstheme="minorHAnsi"/>
          <w:b/>
          <w:sz w:val="22"/>
        </w:rPr>
        <w:t>Рис. 5. Динамика изменения прибыли от продаж и чистой прибыли продукции (тыс. руб.)</w:t>
      </w:r>
    </w:p>
    <w:p w:rsidR="003F0C96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>На протяжении рассматриваемого периода наблюдается постепенное снижение активности финансово-хозяйственной деятельности компании. В качестве негативной тенденции следует рассматривать снижение оборотных активов. Наряду с этим, наблюдается также тенденция ухудшения финансового состояния компании – снижение показателей выручки и отрицательный финансовый результат.</w:t>
      </w:r>
    </w:p>
    <w:p w:rsidR="003F0C96" w:rsidRDefault="003F0C96" w:rsidP="003F0C96">
      <w:r>
        <w:br w:type="page"/>
      </w:r>
    </w:p>
    <w:p w:rsidR="00422A9F" w:rsidRPr="003F0C96" w:rsidRDefault="00422A9F" w:rsidP="003F0C96">
      <w:pPr>
        <w:pStyle w:val="3"/>
        <w:jc w:val="left"/>
        <w:rPr>
          <w:rFonts w:asciiTheme="minorHAnsi" w:eastAsia="Times New Roman" w:hAnsiTheme="minorHAnsi" w:cstheme="minorHAnsi"/>
          <w:sz w:val="24"/>
          <w:szCs w:val="24"/>
        </w:rPr>
      </w:pPr>
      <w:bookmarkStart w:id="4" w:name="_Toc357986725"/>
      <w:r w:rsidRPr="003F0C96">
        <w:rPr>
          <w:rFonts w:asciiTheme="minorHAnsi" w:eastAsia="Times New Roman" w:hAnsiTheme="minorHAnsi" w:cstheme="minorHAnsi"/>
          <w:sz w:val="24"/>
          <w:szCs w:val="24"/>
        </w:rPr>
        <w:lastRenderedPageBreak/>
        <w:t>Анализ финансовых коэффициентов</w:t>
      </w:r>
      <w:bookmarkEnd w:id="4"/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>Динамика финансовых коэффициентов представлена в Таблице 1.</w:t>
      </w:r>
    </w:p>
    <w:p w:rsidR="00422A9F" w:rsidRPr="003F0C96" w:rsidRDefault="00422A9F" w:rsidP="003F0C96">
      <w:pPr>
        <w:spacing w:after="120" w:line="240" w:lineRule="auto"/>
        <w:rPr>
          <w:rFonts w:asciiTheme="minorHAnsi" w:hAnsiTheme="minorHAnsi" w:cstheme="minorHAnsi"/>
          <w:b/>
          <w:sz w:val="22"/>
        </w:rPr>
      </w:pPr>
      <w:r w:rsidRPr="003F0C96">
        <w:rPr>
          <w:rFonts w:asciiTheme="minorHAnsi" w:hAnsiTheme="minorHAnsi" w:cstheme="minorHAnsi"/>
          <w:b/>
          <w:sz w:val="22"/>
        </w:rPr>
        <w:t>Таблица 1. Финансовые коэффициенты за 2008-2012 годы.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969"/>
        <w:gridCol w:w="1101"/>
        <w:gridCol w:w="1134"/>
        <w:gridCol w:w="1134"/>
        <w:gridCol w:w="1134"/>
        <w:gridCol w:w="1134"/>
      </w:tblGrid>
      <w:tr w:rsidR="00422A9F" w:rsidRPr="00422A9F" w:rsidTr="00422A9F">
        <w:trPr>
          <w:trHeight w:val="315"/>
        </w:trPr>
        <w:tc>
          <w:tcPr>
            <w:tcW w:w="3969" w:type="dxa"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2008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2009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2010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2012</w:t>
            </w:r>
          </w:p>
        </w:tc>
      </w:tr>
      <w:tr w:rsidR="00422A9F" w:rsidRPr="00422A9F" w:rsidTr="00422A9F">
        <w:trPr>
          <w:trHeight w:val="315"/>
        </w:trPr>
        <w:tc>
          <w:tcPr>
            <w:tcW w:w="3969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Коэффициенты финансовой независимости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22A9F" w:rsidRPr="00422A9F" w:rsidTr="00422A9F">
        <w:trPr>
          <w:trHeight w:val="300"/>
        </w:trPr>
        <w:tc>
          <w:tcPr>
            <w:tcW w:w="3969" w:type="dxa"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Коэффициент  общей финансовой независимости (КОФН ≥ 0.5)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0,004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0,008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0,007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0,004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0,004</w:t>
            </w:r>
          </w:p>
        </w:tc>
      </w:tr>
      <w:tr w:rsidR="00422A9F" w:rsidRPr="00422A9F" w:rsidTr="00422A9F">
        <w:trPr>
          <w:trHeight w:val="600"/>
        </w:trPr>
        <w:tc>
          <w:tcPr>
            <w:tcW w:w="3969" w:type="dxa"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Коэффициент финансовой независимости в части оборотных активов (КФНОА ≥ 0.1</w:t>
            </w:r>
            <w:proofErr w:type="gramStart"/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-2,60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-1,75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-2,94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-4,33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-4,85</w:t>
            </w:r>
          </w:p>
        </w:tc>
      </w:tr>
      <w:tr w:rsidR="00422A9F" w:rsidRPr="00422A9F" w:rsidTr="00422A9F">
        <w:trPr>
          <w:trHeight w:val="615"/>
        </w:trPr>
        <w:tc>
          <w:tcPr>
            <w:tcW w:w="3969" w:type="dxa"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Коэффициент финансовой независимости в части запасов (КФНЗ ≥ 0.25</w:t>
            </w:r>
            <w:proofErr w:type="gramStart"/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-28,065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-12,454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-20,287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-22,89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-26,92</w:t>
            </w:r>
          </w:p>
        </w:tc>
      </w:tr>
      <w:tr w:rsidR="00422A9F" w:rsidRPr="00422A9F" w:rsidTr="00422A9F">
        <w:trPr>
          <w:trHeight w:val="300"/>
        </w:trPr>
        <w:tc>
          <w:tcPr>
            <w:tcW w:w="3969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Коэффициент финансовой устойчивости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22A9F" w:rsidRPr="00422A9F" w:rsidTr="00422A9F">
        <w:trPr>
          <w:trHeight w:val="674"/>
        </w:trPr>
        <w:tc>
          <w:tcPr>
            <w:tcW w:w="3969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Коэффициент финансовой устойчивости (0,8-0,9)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22A9F" w:rsidRPr="00422A9F" w:rsidRDefault="00422A9F" w:rsidP="003F0C9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0,012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0,019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0,008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0,008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0,007</w:t>
            </w:r>
          </w:p>
        </w:tc>
      </w:tr>
      <w:tr w:rsidR="00422A9F" w:rsidRPr="00422A9F" w:rsidTr="00422A9F">
        <w:trPr>
          <w:trHeight w:val="300"/>
        </w:trPr>
        <w:tc>
          <w:tcPr>
            <w:tcW w:w="3969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Показатели ликвидности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22A9F" w:rsidRPr="00422A9F" w:rsidTr="00422A9F">
        <w:trPr>
          <w:trHeight w:val="300"/>
        </w:trPr>
        <w:tc>
          <w:tcPr>
            <w:tcW w:w="3969" w:type="dxa"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Коэффициент абсолютной ликвидности LR (0.1≤LR≤0.5)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</w:tr>
      <w:tr w:rsidR="00422A9F" w:rsidRPr="00422A9F" w:rsidTr="00422A9F">
        <w:trPr>
          <w:trHeight w:val="300"/>
        </w:trPr>
        <w:tc>
          <w:tcPr>
            <w:tcW w:w="3969" w:type="dxa"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Коэффициент срочной ликвидности QR (QR≥1)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</w:tr>
      <w:tr w:rsidR="00422A9F" w:rsidRPr="00422A9F" w:rsidTr="00422A9F">
        <w:trPr>
          <w:trHeight w:val="600"/>
        </w:trPr>
        <w:tc>
          <w:tcPr>
            <w:tcW w:w="3969" w:type="dxa"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Коэффициент текущей ликвидности С</w:t>
            </w:r>
            <w:proofErr w:type="gramStart"/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proofErr w:type="gramEnd"/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(1≤СR≤2)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0,03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0,06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0,04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0,03</w:t>
            </w:r>
          </w:p>
        </w:tc>
      </w:tr>
      <w:tr w:rsidR="00422A9F" w:rsidRPr="00422A9F" w:rsidTr="00422A9F">
        <w:trPr>
          <w:trHeight w:val="315"/>
        </w:trPr>
        <w:tc>
          <w:tcPr>
            <w:tcW w:w="3969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Чистый оборотный капитал (NWC) (тыс. руб.)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-604376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-406016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-492692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-537098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-632057</w:t>
            </w:r>
          </w:p>
        </w:tc>
      </w:tr>
      <w:tr w:rsidR="00422A9F" w:rsidRPr="00422A9F" w:rsidTr="00422A9F">
        <w:trPr>
          <w:trHeight w:val="315"/>
        </w:trPr>
        <w:tc>
          <w:tcPr>
            <w:tcW w:w="3969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Коэффициенты оборачиваемости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22A9F" w:rsidRPr="00422A9F" w:rsidTr="00422A9F">
        <w:trPr>
          <w:trHeight w:val="300"/>
        </w:trPr>
        <w:tc>
          <w:tcPr>
            <w:tcW w:w="3969" w:type="dxa"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Коэффициент оборачиваемости дебит</w:t>
            </w:r>
            <w:proofErr w:type="gramStart"/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proofErr w:type="gramEnd"/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з</w:t>
            </w:r>
            <w:proofErr w:type="gramEnd"/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адолженности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0,625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0,179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0,329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0,009</w:t>
            </w:r>
          </w:p>
        </w:tc>
      </w:tr>
      <w:tr w:rsidR="00422A9F" w:rsidRPr="00422A9F" w:rsidTr="00422A9F">
        <w:trPr>
          <w:trHeight w:val="300"/>
        </w:trPr>
        <w:tc>
          <w:tcPr>
            <w:tcW w:w="3969" w:type="dxa"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Продолжительность оборота дебит</w:t>
            </w:r>
            <w:proofErr w:type="gramStart"/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proofErr w:type="gramEnd"/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з</w:t>
            </w:r>
            <w:proofErr w:type="gramEnd"/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адолженности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576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1094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40000</w:t>
            </w:r>
          </w:p>
        </w:tc>
      </w:tr>
      <w:tr w:rsidR="00422A9F" w:rsidRPr="00422A9F" w:rsidTr="00422A9F">
        <w:trPr>
          <w:trHeight w:val="300"/>
        </w:trPr>
        <w:tc>
          <w:tcPr>
            <w:tcW w:w="3969" w:type="dxa"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Коэффициент оборачиваемости кредиторской задолженности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0,184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0,049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0,063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0,001</w:t>
            </w:r>
          </w:p>
        </w:tc>
      </w:tr>
      <w:tr w:rsidR="00422A9F" w:rsidRPr="00422A9F" w:rsidTr="00422A9F">
        <w:trPr>
          <w:trHeight w:val="315"/>
        </w:trPr>
        <w:tc>
          <w:tcPr>
            <w:tcW w:w="3969" w:type="dxa"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Продолжительность оборота кредиторской задолженности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1956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7346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5714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360000</w:t>
            </w:r>
          </w:p>
        </w:tc>
      </w:tr>
      <w:tr w:rsidR="00422A9F" w:rsidRPr="00422A9F" w:rsidTr="00422A9F">
        <w:trPr>
          <w:trHeight w:val="315"/>
        </w:trPr>
        <w:tc>
          <w:tcPr>
            <w:tcW w:w="3969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Рентабельность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22A9F" w:rsidRPr="00422A9F" w:rsidTr="00422A9F">
        <w:trPr>
          <w:trHeight w:val="300"/>
        </w:trPr>
        <w:tc>
          <w:tcPr>
            <w:tcW w:w="3969" w:type="dxa"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Рентабельность продаж (ROS)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2,4%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8,0%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5,8%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1,5%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26,9%</w:t>
            </w:r>
          </w:p>
        </w:tc>
      </w:tr>
      <w:tr w:rsidR="00422A9F" w:rsidRPr="00422A9F" w:rsidTr="00422A9F">
        <w:trPr>
          <w:trHeight w:val="300"/>
        </w:trPr>
        <w:tc>
          <w:tcPr>
            <w:tcW w:w="3969" w:type="dxa"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Рентабельность продукции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2,4%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8,7%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6,2%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1,5%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36,8%</w:t>
            </w:r>
          </w:p>
        </w:tc>
      </w:tr>
      <w:tr w:rsidR="00422A9F" w:rsidRPr="00422A9F" w:rsidTr="00422A9F">
        <w:trPr>
          <w:trHeight w:val="315"/>
        </w:trPr>
        <w:tc>
          <w:tcPr>
            <w:tcW w:w="3969" w:type="dxa"/>
            <w:hideMark/>
          </w:tcPr>
          <w:p w:rsidR="00422A9F" w:rsidRPr="00422A9F" w:rsidRDefault="00422A9F" w:rsidP="00422A9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Рентабельность собственного капитала (ROE)</w:t>
            </w:r>
          </w:p>
        </w:tc>
        <w:tc>
          <w:tcPr>
            <w:tcW w:w="1101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238,76%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-12,11%</w:t>
            </w:r>
          </w:p>
        </w:tc>
        <w:tc>
          <w:tcPr>
            <w:tcW w:w="1134" w:type="dxa"/>
            <w:noWrap/>
            <w:hideMark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5,1%</w:t>
            </w:r>
          </w:p>
        </w:tc>
        <w:tc>
          <w:tcPr>
            <w:tcW w:w="1134" w:type="dxa"/>
          </w:tcPr>
          <w:p w:rsidR="00422A9F" w:rsidRPr="00422A9F" w:rsidRDefault="00422A9F" w:rsidP="00422A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eastAsia="Times New Roman" w:hAnsiTheme="minorHAnsi" w:cstheme="minorHAnsi"/>
                <w:sz w:val="20"/>
                <w:szCs w:val="20"/>
              </w:rPr>
              <w:t>3,08%</w:t>
            </w:r>
          </w:p>
        </w:tc>
      </w:tr>
    </w:tbl>
    <w:p w:rsid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>Значения коэффициента абсолютной ликвидности, коэффициента текущей ликвидности коэффициента срочной ликвидности в анализируемом периоде приняли нулевые или близкие к нулю значения. У компании на протяжении всего периода анализа отсутствовали или имели крайне низкие значения показатели ликвидных и наиболее ликвидных активов, что и привело к нулевым значениям показателей ликвидности.  Подобные значения коэффициентов показывают, что  компания  не имеет возможности своевременно погасить наиболее срочные обязательства за счет наиболее ликвидных активов, в результате чего возникала постоянная потребность в привлечении источников внешнего финансирования.</w:t>
      </w:r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 xml:space="preserve">Коэффициент  общей финансовой независимости, за анализируемый период  находился существенно ниже своего нормативного значения (0,5) в течение всего рассматриваемого периода.  В рассматриваемом периоде значения коэффициента колебались в пределах 0,004 – </w:t>
      </w:r>
      <w:r w:rsidRPr="00422A9F">
        <w:rPr>
          <w:rFonts w:asciiTheme="minorHAnsi" w:hAnsiTheme="minorHAnsi" w:cstheme="minorHAnsi"/>
          <w:sz w:val="22"/>
        </w:rPr>
        <w:lastRenderedPageBreak/>
        <w:t xml:space="preserve">0,008. Таким образом, заемный капитал в течение всего исследуемого периода не мог быть  компенсирован собственностью предприятия. Значения коэффициент финансовой независимости в части оборотных активов принимают отрицательные значения.   Таким образом, собственные оборотные средства компании не могли покрыть расходы. </w:t>
      </w:r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>Финансовый анализ устойчивости показал, что для финансирования запасов и затрат компания использует исключительно заемные средства, и не обладает финансовой устойчивостью на протяжении всего периода анализа. Финансовое положение компании – критически неустойчивое.</w:t>
      </w:r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>Показатели рентабельности в течение исследуемого периода сильно изменялись. Тенденции изменения показателей рентабельности нисходящая, то есть падение рентабельности с 8% (в 2009 году) до 1,5% (в 2011 году). Такое снижение является негативным фактором. Рост рентабельности в 2012 году связан с практически полным прекращением хозяйственной деятельности.</w:t>
      </w:r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>Компания на протяжении всего периода своей деятельности имела крайне низкие показатели оборачиваемости дебиторской и кредиторской задолженности. Столь низкие показатели оборачиваемости обусловлены структурой активов компании, которые состоят из внеоборотных активов и долгосрочной дебиторской задолженности, при отсутствии ликвидных активов.  Такая структура обусловлена спецификой деятельности – строительства объектов недвижимости. В виду отсутствия оборачиваемости активов, компания на протяжении всего периода вынуждена была прибегать к краткосрочному внешнему финансированию своей деятельности, что негативного сказывалось на показателях его ликвидности, платежеспособности и,  в конечном итоге,  рентабельности.</w:t>
      </w:r>
    </w:p>
    <w:p w:rsidR="003F0C96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>В итоге можно сделать вывод, что финансовое положение компании на протяжении всего периода анализа является  кризисно неустойчивым, в виду отсутствия источников собственных средств и привлечения для этих целей значительных источников внешнего финансирования – краткосрочных заемных сре</w:t>
      </w:r>
      <w:proofErr w:type="gramStart"/>
      <w:r w:rsidRPr="00422A9F">
        <w:rPr>
          <w:rFonts w:asciiTheme="minorHAnsi" w:hAnsiTheme="minorHAnsi" w:cstheme="minorHAnsi"/>
          <w:sz w:val="22"/>
        </w:rPr>
        <w:t>дств в в</w:t>
      </w:r>
      <w:proofErr w:type="gramEnd"/>
      <w:r w:rsidRPr="00422A9F">
        <w:rPr>
          <w:rFonts w:asciiTheme="minorHAnsi" w:hAnsiTheme="minorHAnsi" w:cstheme="minorHAnsi"/>
          <w:sz w:val="22"/>
        </w:rPr>
        <w:t>иде  кредиторской задолженности. Вместе с тем структура оборотных средств компании также являлась неудовлетворительной, в виду отсутствия ликвидных активов.</w:t>
      </w:r>
    </w:p>
    <w:p w:rsidR="00422A9F" w:rsidRPr="003F0C96" w:rsidRDefault="00422A9F" w:rsidP="003F0C96">
      <w:pPr>
        <w:pStyle w:val="3"/>
        <w:jc w:val="left"/>
        <w:rPr>
          <w:rFonts w:asciiTheme="minorHAnsi" w:eastAsia="Times New Roman" w:hAnsiTheme="minorHAnsi" w:cstheme="minorHAnsi"/>
          <w:sz w:val="24"/>
          <w:szCs w:val="24"/>
        </w:rPr>
      </w:pPr>
      <w:bookmarkStart w:id="5" w:name="_Toc357986719"/>
      <w:r w:rsidRPr="003F0C96">
        <w:rPr>
          <w:rFonts w:asciiTheme="minorHAnsi" w:eastAsia="Times New Roman" w:hAnsiTheme="minorHAnsi" w:cstheme="minorHAnsi"/>
          <w:sz w:val="24"/>
          <w:szCs w:val="24"/>
        </w:rPr>
        <w:t>Анализ вероятности банкротства ЗАО «Управление механизации №276»</w:t>
      </w:r>
      <w:bookmarkEnd w:id="5"/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 xml:space="preserve">Проведем расчет вероятности банкротства компании ЗАО «Управление механизации №276» за пять лет (с 2008 по 2012 годы) на основе </w:t>
      </w:r>
      <w:r>
        <w:rPr>
          <w:rFonts w:asciiTheme="minorHAnsi" w:hAnsiTheme="minorHAnsi" w:cstheme="minorHAnsi"/>
          <w:sz w:val="22"/>
        </w:rPr>
        <w:t>нескольких</w:t>
      </w:r>
      <w:r w:rsidRPr="00422A9F">
        <w:rPr>
          <w:rFonts w:asciiTheme="minorHAnsi" w:hAnsiTheme="minorHAnsi" w:cstheme="minorHAnsi"/>
          <w:sz w:val="22"/>
        </w:rPr>
        <w:t xml:space="preserve"> методик. </w:t>
      </w:r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 xml:space="preserve">1. Результат расчета по пятифакторной модели Альтмана для компаний, чьи акции не котируются на бирже, представлен в Таблице </w:t>
      </w:r>
      <w:r>
        <w:rPr>
          <w:rFonts w:asciiTheme="minorHAnsi" w:hAnsiTheme="minorHAnsi" w:cstheme="minorHAnsi"/>
          <w:sz w:val="22"/>
        </w:rPr>
        <w:t>2</w:t>
      </w:r>
      <w:r w:rsidRPr="00422A9F">
        <w:rPr>
          <w:rFonts w:asciiTheme="minorHAnsi" w:hAnsiTheme="minorHAnsi" w:cstheme="minorHAnsi"/>
          <w:sz w:val="22"/>
        </w:rPr>
        <w:t>.</w:t>
      </w:r>
    </w:p>
    <w:p w:rsidR="00422A9F" w:rsidRPr="003F0C96" w:rsidRDefault="00422A9F" w:rsidP="003F0C96">
      <w:pPr>
        <w:spacing w:after="120" w:line="240" w:lineRule="auto"/>
        <w:rPr>
          <w:rFonts w:asciiTheme="minorHAnsi" w:hAnsiTheme="minorHAnsi" w:cstheme="minorHAnsi"/>
          <w:b/>
          <w:sz w:val="22"/>
        </w:rPr>
      </w:pPr>
      <w:r w:rsidRPr="003F0C96">
        <w:rPr>
          <w:rFonts w:asciiTheme="minorHAnsi" w:hAnsiTheme="minorHAnsi" w:cstheme="minorHAnsi"/>
          <w:b/>
          <w:sz w:val="22"/>
        </w:rPr>
        <w:t>Таблица 2. Вероятность банкротства по модели Альтмана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1"/>
        <w:gridCol w:w="1539"/>
        <w:gridCol w:w="1539"/>
        <w:gridCol w:w="1540"/>
        <w:gridCol w:w="1540"/>
        <w:gridCol w:w="1541"/>
      </w:tblGrid>
      <w:tr w:rsidR="00422A9F" w:rsidRPr="00422A9F" w:rsidTr="00422A9F">
        <w:tc>
          <w:tcPr>
            <w:tcW w:w="1872" w:type="dxa"/>
            <w:vMerge w:val="restart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Коэффициент</w:t>
            </w:r>
          </w:p>
        </w:tc>
        <w:tc>
          <w:tcPr>
            <w:tcW w:w="7699" w:type="dxa"/>
            <w:gridSpan w:val="5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Год</w:t>
            </w:r>
          </w:p>
        </w:tc>
      </w:tr>
      <w:tr w:rsidR="00422A9F" w:rsidRPr="00422A9F" w:rsidTr="00422A9F">
        <w:tc>
          <w:tcPr>
            <w:tcW w:w="1872" w:type="dxa"/>
            <w:vMerge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2008</w:t>
            </w:r>
          </w:p>
        </w:tc>
        <w:tc>
          <w:tcPr>
            <w:tcW w:w="1539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2009</w:t>
            </w:r>
          </w:p>
        </w:tc>
        <w:tc>
          <w:tcPr>
            <w:tcW w:w="1540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2010</w:t>
            </w:r>
          </w:p>
        </w:tc>
        <w:tc>
          <w:tcPr>
            <w:tcW w:w="1540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2011</w:t>
            </w:r>
          </w:p>
        </w:tc>
        <w:tc>
          <w:tcPr>
            <w:tcW w:w="1541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2012</w:t>
            </w:r>
          </w:p>
        </w:tc>
      </w:tr>
      <w:tr w:rsidR="00422A9F" w:rsidRPr="00422A9F" w:rsidTr="00422A9F">
        <w:tc>
          <w:tcPr>
            <w:tcW w:w="1872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X1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0,276588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0,361435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0,251919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0,18669</w:t>
            </w:r>
          </w:p>
        </w:tc>
        <w:tc>
          <w:tcPr>
            <w:tcW w:w="1541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0,170409</w:t>
            </w:r>
          </w:p>
        </w:tc>
      </w:tr>
      <w:tr w:rsidR="00422A9F" w:rsidRPr="00422A9F" w:rsidTr="00422A9F">
        <w:tc>
          <w:tcPr>
            <w:tcW w:w="1872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X2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0,0018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0,014421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-0,00085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0,000281</w:t>
            </w:r>
          </w:p>
        </w:tc>
        <w:tc>
          <w:tcPr>
            <w:tcW w:w="1541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0,000118</w:t>
            </w:r>
          </w:p>
        </w:tc>
      </w:tr>
      <w:tr w:rsidR="00422A9F" w:rsidRPr="00422A9F" w:rsidTr="00422A9F">
        <w:tc>
          <w:tcPr>
            <w:tcW w:w="1872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X3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0,003442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0,014655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0,001649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0,000669</w:t>
            </w:r>
          </w:p>
        </w:tc>
        <w:tc>
          <w:tcPr>
            <w:tcW w:w="1541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0,000105</w:t>
            </w:r>
          </w:p>
        </w:tc>
      </w:tr>
      <w:tr w:rsidR="00422A9F" w:rsidRPr="00422A9F" w:rsidTr="00422A9F">
        <w:tc>
          <w:tcPr>
            <w:tcW w:w="1872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X4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0,045594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0,063416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0,061401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0,058792</w:t>
            </w:r>
          </w:p>
        </w:tc>
        <w:tc>
          <w:tcPr>
            <w:tcW w:w="1541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0,050764</w:t>
            </w:r>
          </w:p>
        </w:tc>
      </w:tr>
      <w:tr w:rsidR="00422A9F" w:rsidRPr="00422A9F" w:rsidTr="00422A9F">
        <w:tc>
          <w:tcPr>
            <w:tcW w:w="1872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X5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0,067568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0,196506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0,046156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0,05941</w:t>
            </w:r>
          </w:p>
        </w:tc>
        <w:tc>
          <w:tcPr>
            <w:tcW w:w="1541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0,001143</w:t>
            </w:r>
          </w:p>
        </w:tc>
      </w:tr>
      <w:tr w:rsidR="00422A9F" w:rsidRPr="00422A9F" w:rsidTr="00422A9F">
        <w:tc>
          <w:tcPr>
            <w:tcW w:w="1872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0,29691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0,539054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0,256738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0,219978</w:t>
            </w:r>
          </w:p>
        </w:tc>
        <w:tc>
          <w:tcPr>
            <w:tcW w:w="1541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0,14507</w:t>
            </w:r>
          </w:p>
        </w:tc>
      </w:tr>
      <w:tr w:rsidR="00422A9F" w:rsidRPr="00422A9F" w:rsidTr="00422A9F">
        <w:tc>
          <w:tcPr>
            <w:tcW w:w="1872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Вероятность банкротства</w:t>
            </w:r>
          </w:p>
        </w:tc>
        <w:tc>
          <w:tcPr>
            <w:tcW w:w="1539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высокая</w:t>
            </w:r>
          </w:p>
        </w:tc>
        <w:tc>
          <w:tcPr>
            <w:tcW w:w="1539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высокая</w:t>
            </w:r>
          </w:p>
        </w:tc>
        <w:tc>
          <w:tcPr>
            <w:tcW w:w="1540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высокая</w:t>
            </w:r>
          </w:p>
        </w:tc>
        <w:tc>
          <w:tcPr>
            <w:tcW w:w="1540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высокая</w:t>
            </w:r>
          </w:p>
        </w:tc>
        <w:tc>
          <w:tcPr>
            <w:tcW w:w="1541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высокая</w:t>
            </w:r>
          </w:p>
        </w:tc>
      </w:tr>
    </w:tbl>
    <w:p w:rsidR="003F0C96" w:rsidRDefault="003F0C96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</w:p>
    <w:p w:rsidR="003F0C96" w:rsidRDefault="003F0C96" w:rsidP="003F0C96">
      <w:r>
        <w:br w:type="page"/>
      </w:r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lastRenderedPageBreak/>
        <w:t xml:space="preserve">2. Результат расчета по четырехфакторной модели </w:t>
      </w:r>
      <w:proofErr w:type="spellStart"/>
      <w:r w:rsidRPr="00422A9F">
        <w:rPr>
          <w:rFonts w:asciiTheme="minorHAnsi" w:hAnsiTheme="minorHAnsi" w:cstheme="minorHAnsi"/>
          <w:sz w:val="22"/>
        </w:rPr>
        <w:t>Таффлера</w:t>
      </w:r>
      <w:proofErr w:type="spellEnd"/>
      <w:r w:rsidRPr="00422A9F">
        <w:rPr>
          <w:rFonts w:asciiTheme="minorHAnsi" w:hAnsiTheme="minorHAnsi" w:cstheme="minorHAnsi"/>
          <w:sz w:val="22"/>
        </w:rPr>
        <w:t xml:space="preserve"> представлен в Таблице </w:t>
      </w:r>
      <w:r>
        <w:rPr>
          <w:rFonts w:asciiTheme="minorHAnsi" w:hAnsiTheme="minorHAnsi" w:cstheme="minorHAnsi"/>
          <w:sz w:val="22"/>
        </w:rPr>
        <w:t>3</w:t>
      </w:r>
      <w:r w:rsidRPr="00422A9F">
        <w:rPr>
          <w:rFonts w:asciiTheme="minorHAnsi" w:hAnsiTheme="minorHAnsi" w:cstheme="minorHAnsi"/>
          <w:sz w:val="22"/>
        </w:rPr>
        <w:t>.</w:t>
      </w:r>
    </w:p>
    <w:p w:rsidR="00422A9F" w:rsidRPr="003F0C96" w:rsidRDefault="00422A9F" w:rsidP="003F0C96">
      <w:pPr>
        <w:spacing w:after="120" w:line="240" w:lineRule="auto"/>
        <w:rPr>
          <w:rFonts w:asciiTheme="minorHAnsi" w:hAnsiTheme="minorHAnsi" w:cstheme="minorHAnsi"/>
          <w:b/>
          <w:sz w:val="22"/>
        </w:rPr>
      </w:pPr>
      <w:r w:rsidRPr="003F0C96">
        <w:rPr>
          <w:rFonts w:asciiTheme="minorHAnsi" w:hAnsiTheme="minorHAnsi" w:cstheme="minorHAnsi"/>
          <w:b/>
          <w:sz w:val="22"/>
        </w:rPr>
        <w:t xml:space="preserve">Таблица 3. Вероятность банкротства по модели </w:t>
      </w:r>
      <w:proofErr w:type="spellStart"/>
      <w:r w:rsidRPr="003F0C96">
        <w:rPr>
          <w:rFonts w:asciiTheme="minorHAnsi" w:hAnsiTheme="minorHAnsi" w:cstheme="minorHAnsi"/>
          <w:b/>
          <w:sz w:val="22"/>
        </w:rPr>
        <w:t>Таффлера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1569"/>
        <w:gridCol w:w="1569"/>
        <w:gridCol w:w="1569"/>
        <w:gridCol w:w="1569"/>
        <w:gridCol w:w="1569"/>
      </w:tblGrid>
      <w:tr w:rsidR="00422A9F" w:rsidRPr="00422A9F" w:rsidTr="00422A9F">
        <w:tc>
          <w:tcPr>
            <w:tcW w:w="1872" w:type="dxa"/>
            <w:vMerge w:val="restart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Коэффициент</w:t>
            </w:r>
          </w:p>
        </w:tc>
        <w:tc>
          <w:tcPr>
            <w:tcW w:w="7699" w:type="dxa"/>
            <w:gridSpan w:val="5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Год</w:t>
            </w:r>
          </w:p>
        </w:tc>
      </w:tr>
      <w:tr w:rsidR="00422A9F" w:rsidRPr="00422A9F" w:rsidTr="00422A9F">
        <w:tc>
          <w:tcPr>
            <w:tcW w:w="1872" w:type="dxa"/>
            <w:vMerge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2008</w:t>
            </w:r>
          </w:p>
        </w:tc>
        <w:tc>
          <w:tcPr>
            <w:tcW w:w="1539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2009</w:t>
            </w:r>
          </w:p>
        </w:tc>
        <w:tc>
          <w:tcPr>
            <w:tcW w:w="1540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2010</w:t>
            </w:r>
          </w:p>
        </w:tc>
        <w:tc>
          <w:tcPr>
            <w:tcW w:w="1540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2011</w:t>
            </w:r>
          </w:p>
        </w:tc>
        <w:tc>
          <w:tcPr>
            <w:tcW w:w="1541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2012</w:t>
            </w:r>
          </w:p>
        </w:tc>
      </w:tr>
      <w:tr w:rsidR="00422A9F" w:rsidRPr="00422A9F" w:rsidTr="00422A9F">
        <w:tc>
          <w:tcPr>
            <w:tcW w:w="1872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X1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0,001613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0,016016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0,002716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0,000878</w:t>
            </w:r>
          </w:p>
        </w:tc>
        <w:tc>
          <w:tcPr>
            <w:tcW w:w="1541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0,000309</w:t>
            </w:r>
          </w:p>
        </w:tc>
      </w:tr>
      <w:tr w:rsidR="00422A9F" w:rsidRPr="00422A9F" w:rsidTr="00422A9F">
        <w:tc>
          <w:tcPr>
            <w:tcW w:w="1872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X2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0,277546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0,364204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0,2536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0,187507</w:t>
            </w:r>
          </w:p>
        </w:tc>
        <w:tc>
          <w:tcPr>
            <w:tcW w:w="1541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0,171077</w:t>
            </w:r>
          </w:p>
        </w:tc>
      </w:tr>
      <w:tr w:rsidR="00422A9F" w:rsidRPr="00422A9F" w:rsidTr="00422A9F">
        <w:tc>
          <w:tcPr>
            <w:tcW w:w="1872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X3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0,98794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0,980713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0,991666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0,992345</w:t>
            </w:r>
          </w:p>
        </w:tc>
        <w:tc>
          <w:tcPr>
            <w:tcW w:w="1541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0,993238</w:t>
            </w:r>
          </w:p>
        </w:tc>
      </w:tr>
      <w:tr w:rsidR="00422A9F" w:rsidRPr="00422A9F" w:rsidTr="00422A9F">
        <w:tc>
          <w:tcPr>
            <w:tcW w:w="1872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X4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0,067568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0,196506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0,046156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0,05941</w:t>
            </w:r>
          </w:p>
        </w:tc>
        <w:tc>
          <w:tcPr>
            <w:tcW w:w="1541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0,001143</w:t>
            </w:r>
          </w:p>
        </w:tc>
      </w:tr>
      <w:tr w:rsidR="00422A9F" w:rsidRPr="00422A9F" w:rsidTr="00422A9F">
        <w:tc>
          <w:tcPr>
            <w:tcW w:w="1872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0,225576</w:t>
            </w:r>
          </w:p>
        </w:tc>
        <w:tc>
          <w:tcPr>
            <w:tcW w:w="1539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0,263804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0,220292</w:t>
            </w:r>
          </w:p>
        </w:tc>
        <w:tc>
          <w:tcPr>
            <w:tcW w:w="1540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0,212969</w:t>
            </w:r>
          </w:p>
        </w:tc>
        <w:tc>
          <w:tcPr>
            <w:tcW w:w="1541" w:type="dxa"/>
            <w:vAlign w:val="bottom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0,20137</w:t>
            </w:r>
          </w:p>
        </w:tc>
      </w:tr>
      <w:tr w:rsidR="00422A9F" w:rsidRPr="00422A9F" w:rsidTr="00422A9F">
        <w:tc>
          <w:tcPr>
            <w:tcW w:w="1872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Вероятность банкротства</w:t>
            </w:r>
          </w:p>
        </w:tc>
        <w:tc>
          <w:tcPr>
            <w:tcW w:w="1539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неопределенно</w:t>
            </w:r>
          </w:p>
        </w:tc>
        <w:tc>
          <w:tcPr>
            <w:tcW w:w="1539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неопределенно</w:t>
            </w:r>
          </w:p>
        </w:tc>
        <w:tc>
          <w:tcPr>
            <w:tcW w:w="1540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неопределенно</w:t>
            </w:r>
          </w:p>
        </w:tc>
        <w:tc>
          <w:tcPr>
            <w:tcW w:w="1540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неопределенно</w:t>
            </w:r>
          </w:p>
        </w:tc>
        <w:tc>
          <w:tcPr>
            <w:tcW w:w="1541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неопределенно</w:t>
            </w:r>
          </w:p>
        </w:tc>
      </w:tr>
    </w:tbl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 xml:space="preserve">3. Результат расчета по четырехфакторной модели </w:t>
      </w:r>
      <w:proofErr w:type="spellStart"/>
      <w:r w:rsidRPr="00422A9F">
        <w:rPr>
          <w:rFonts w:asciiTheme="minorHAnsi" w:hAnsiTheme="minorHAnsi" w:cstheme="minorHAnsi"/>
          <w:sz w:val="22"/>
        </w:rPr>
        <w:t>Бивера</w:t>
      </w:r>
      <w:proofErr w:type="spellEnd"/>
      <w:r w:rsidRPr="00422A9F">
        <w:rPr>
          <w:rFonts w:asciiTheme="minorHAnsi" w:hAnsiTheme="minorHAnsi" w:cstheme="minorHAnsi"/>
          <w:sz w:val="22"/>
        </w:rPr>
        <w:t xml:space="preserve"> представлен в Таблице </w:t>
      </w:r>
      <w:r>
        <w:rPr>
          <w:rFonts w:asciiTheme="minorHAnsi" w:hAnsiTheme="minorHAnsi" w:cstheme="minorHAnsi"/>
          <w:sz w:val="22"/>
        </w:rPr>
        <w:t>4</w:t>
      </w:r>
      <w:r w:rsidRPr="00422A9F">
        <w:rPr>
          <w:rFonts w:asciiTheme="minorHAnsi" w:hAnsiTheme="minorHAnsi" w:cstheme="minorHAnsi"/>
          <w:sz w:val="22"/>
        </w:rPr>
        <w:t>.</w:t>
      </w:r>
    </w:p>
    <w:p w:rsidR="00422A9F" w:rsidRPr="003F0C96" w:rsidRDefault="00422A9F" w:rsidP="003F0C96">
      <w:pPr>
        <w:spacing w:after="120" w:line="240" w:lineRule="auto"/>
        <w:rPr>
          <w:rFonts w:asciiTheme="minorHAnsi" w:hAnsiTheme="minorHAnsi" w:cstheme="minorHAnsi"/>
          <w:b/>
          <w:sz w:val="22"/>
        </w:rPr>
      </w:pPr>
      <w:r w:rsidRPr="003F0C96">
        <w:rPr>
          <w:rFonts w:asciiTheme="minorHAnsi" w:hAnsiTheme="minorHAnsi" w:cstheme="minorHAnsi"/>
          <w:b/>
          <w:sz w:val="22"/>
        </w:rPr>
        <w:t xml:space="preserve">Таблица 4. Вероятность банкротства по модели </w:t>
      </w:r>
      <w:proofErr w:type="spellStart"/>
      <w:r w:rsidRPr="003F0C96">
        <w:rPr>
          <w:rFonts w:asciiTheme="minorHAnsi" w:hAnsiTheme="minorHAnsi" w:cstheme="minorHAnsi"/>
          <w:b/>
          <w:sz w:val="22"/>
        </w:rPr>
        <w:t>Бивера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1"/>
        <w:gridCol w:w="1613"/>
        <w:gridCol w:w="1614"/>
        <w:gridCol w:w="1614"/>
        <w:gridCol w:w="1614"/>
        <w:gridCol w:w="1614"/>
      </w:tblGrid>
      <w:tr w:rsidR="00422A9F" w:rsidRPr="00422A9F" w:rsidTr="00422A9F">
        <w:tc>
          <w:tcPr>
            <w:tcW w:w="1502" w:type="dxa"/>
            <w:vMerge w:val="restart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Коэффициент</w:t>
            </w:r>
          </w:p>
        </w:tc>
        <w:tc>
          <w:tcPr>
            <w:tcW w:w="8069" w:type="dxa"/>
            <w:gridSpan w:val="5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Год</w:t>
            </w:r>
          </w:p>
        </w:tc>
      </w:tr>
      <w:tr w:rsidR="00422A9F" w:rsidRPr="00422A9F" w:rsidTr="00422A9F">
        <w:tc>
          <w:tcPr>
            <w:tcW w:w="1502" w:type="dxa"/>
            <w:vMerge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2008</w:t>
            </w:r>
          </w:p>
        </w:tc>
        <w:tc>
          <w:tcPr>
            <w:tcW w:w="1614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2009</w:t>
            </w:r>
          </w:p>
        </w:tc>
        <w:tc>
          <w:tcPr>
            <w:tcW w:w="1614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2010</w:t>
            </w:r>
          </w:p>
        </w:tc>
        <w:tc>
          <w:tcPr>
            <w:tcW w:w="1614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2011</w:t>
            </w:r>
          </w:p>
        </w:tc>
        <w:tc>
          <w:tcPr>
            <w:tcW w:w="1614" w:type="dxa"/>
          </w:tcPr>
          <w:p w:rsidR="00422A9F" w:rsidRPr="00422A9F" w:rsidRDefault="00422A9F" w:rsidP="00422A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b/>
                <w:sz w:val="20"/>
                <w:szCs w:val="20"/>
              </w:rPr>
              <w:t>2012</w:t>
            </w:r>
          </w:p>
        </w:tc>
      </w:tr>
      <w:tr w:rsidR="00422A9F" w:rsidRPr="00422A9F" w:rsidTr="00422A9F">
        <w:tc>
          <w:tcPr>
            <w:tcW w:w="1502" w:type="dxa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X1</w:t>
            </w:r>
          </w:p>
        </w:tc>
        <w:tc>
          <w:tcPr>
            <w:tcW w:w="1613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0,005259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0,029299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0,0008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0,000954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0,000268</w:t>
            </w:r>
          </w:p>
        </w:tc>
      </w:tr>
      <w:tr w:rsidR="00422A9F" w:rsidRPr="00422A9F" w:rsidTr="00422A9F">
        <w:tc>
          <w:tcPr>
            <w:tcW w:w="1502" w:type="dxa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X2</w:t>
            </w:r>
          </w:p>
        </w:tc>
        <w:tc>
          <w:tcPr>
            <w:tcW w:w="1613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0,179964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1,442129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-0,08543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0,02805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0,011847</w:t>
            </w:r>
          </w:p>
        </w:tc>
      </w:tr>
      <w:tr w:rsidR="00422A9F" w:rsidRPr="00422A9F" w:rsidTr="00422A9F">
        <w:tc>
          <w:tcPr>
            <w:tcW w:w="1502" w:type="dxa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X3</w:t>
            </w:r>
          </w:p>
        </w:tc>
        <w:tc>
          <w:tcPr>
            <w:tcW w:w="1613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99,65467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99,23966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99,33696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99,56425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99,60995</w:t>
            </w:r>
          </w:p>
        </w:tc>
      </w:tr>
      <w:tr w:rsidR="00422A9F" w:rsidRPr="00422A9F" w:rsidTr="00422A9F">
        <w:tc>
          <w:tcPr>
            <w:tcW w:w="1502" w:type="dxa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X4</w:t>
            </w:r>
          </w:p>
        </w:tc>
        <w:tc>
          <w:tcPr>
            <w:tcW w:w="1613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0,001655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-0,00682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0,007485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0,004077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0,003782</w:t>
            </w:r>
          </w:p>
        </w:tc>
      </w:tr>
      <w:tr w:rsidR="00422A9F" w:rsidRPr="00422A9F" w:rsidTr="00422A9F">
        <w:tc>
          <w:tcPr>
            <w:tcW w:w="1502" w:type="dxa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X5</w:t>
            </w:r>
          </w:p>
        </w:tc>
        <w:tc>
          <w:tcPr>
            <w:tcW w:w="1613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0,029044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0,059284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0,039097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0,041777</w:t>
            </w:r>
          </w:p>
        </w:tc>
        <w:tc>
          <w:tcPr>
            <w:tcW w:w="1614" w:type="dxa"/>
            <w:vAlign w:val="bottom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0,036184</w:t>
            </w:r>
          </w:p>
        </w:tc>
      </w:tr>
      <w:tr w:rsidR="00422A9F" w:rsidRPr="00422A9F" w:rsidTr="00422A9F">
        <w:tc>
          <w:tcPr>
            <w:tcW w:w="1502" w:type="dxa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Вероятность банкротства</w:t>
            </w:r>
          </w:p>
        </w:tc>
        <w:tc>
          <w:tcPr>
            <w:tcW w:w="1613" w:type="dxa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За год до банкротства</w:t>
            </w:r>
          </w:p>
        </w:tc>
        <w:tc>
          <w:tcPr>
            <w:tcW w:w="1614" w:type="dxa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За год до банкротства</w:t>
            </w:r>
          </w:p>
        </w:tc>
        <w:tc>
          <w:tcPr>
            <w:tcW w:w="1614" w:type="dxa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За год до банкротства</w:t>
            </w:r>
          </w:p>
        </w:tc>
        <w:tc>
          <w:tcPr>
            <w:tcW w:w="1614" w:type="dxa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За год до банкротства</w:t>
            </w:r>
          </w:p>
        </w:tc>
        <w:tc>
          <w:tcPr>
            <w:tcW w:w="1614" w:type="dxa"/>
          </w:tcPr>
          <w:p w:rsidR="00422A9F" w:rsidRPr="00422A9F" w:rsidRDefault="00422A9F" w:rsidP="00422A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2A9F">
              <w:rPr>
                <w:rFonts w:asciiTheme="minorHAnsi" w:hAnsiTheme="minorHAnsi" w:cstheme="minorHAnsi"/>
                <w:sz w:val="20"/>
                <w:szCs w:val="20"/>
              </w:rPr>
              <w:t>За год до банкротства</w:t>
            </w:r>
          </w:p>
        </w:tc>
      </w:tr>
    </w:tbl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</w:p>
    <w:p w:rsidR="00422A9F" w:rsidRPr="00422A9F" w:rsidRDefault="00422A9F" w:rsidP="00422A9F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422A9F">
        <w:rPr>
          <w:rFonts w:asciiTheme="minorHAnsi" w:hAnsiTheme="minorHAnsi" w:cstheme="minorHAnsi"/>
          <w:sz w:val="22"/>
        </w:rPr>
        <w:t xml:space="preserve">4. Результат расчета по четырехфакторной R-модели Иркутской государственной экономической академии представлен в Таблице </w:t>
      </w:r>
      <w:r>
        <w:rPr>
          <w:rFonts w:asciiTheme="minorHAnsi" w:hAnsiTheme="minorHAnsi" w:cstheme="minorHAnsi"/>
          <w:sz w:val="22"/>
        </w:rPr>
        <w:t>5</w:t>
      </w:r>
      <w:r w:rsidRPr="00422A9F">
        <w:rPr>
          <w:rFonts w:asciiTheme="minorHAnsi" w:hAnsiTheme="minorHAnsi" w:cstheme="minorHAnsi"/>
          <w:sz w:val="22"/>
        </w:rPr>
        <w:t>.</w:t>
      </w:r>
    </w:p>
    <w:p w:rsidR="00422A9F" w:rsidRPr="003F0C96" w:rsidRDefault="00422A9F" w:rsidP="003F0C96">
      <w:pPr>
        <w:spacing w:after="120" w:line="240" w:lineRule="auto"/>
        <w:rPr>
          <w:rFonts w:asciiTheme="minorHAnsi" w:hAnsiTheme="minorHAnsi" w:cstheme="minorHAnsi"/>
          <w:b/>
          <w:sz w:val="22"/>
        </w:rPr>
      </w:pPr>
      <w:r w:rsidRPr="003F0C96">
        <w:rPr>
          <w:rFonts w:asciiTheme="minorHAnsi" w:hAnsiTheme="minorHAnsi" w:cstheme="minorHAnsi"/>
          <w:b/>
          <w:sz w:val="22"/>
        </w:rPr>
        <w:t xml:space="preserve">Таблица 5. Вероятность банкротства по </w:t>
      </w:r>
      <w:proofErr w:type="gramStart"/>
      <w:r w:rsidRPr="003F0C96">
        <w:rPr>
          <w:rFonts w:asciiTheme="minorHAnsi" w:hAnsiTheme="minorHAnsi" w:cstheme="minorHAnsi"/>
          <w:b/>
          <w:sz w:val="22"/>
        </w:rPr>
        <w:t>Иркутской</w:t>
      </w:r>
      <w:proofErr w:type="gramEnd"/>
      <w:r w:rsidRPr="003F0C96">
        <w:rPr>
          <w:rFonts w:asciiTheme="minorHAnsi" w:hAnsiTheme="minorHAnsi" w:cstheme="minorHAnsi"/>
          <w:b/>
          <w:sz w:val="22"/>
        </w:rPr>
        <w:t xml:space="preserve"> R-модели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6"/>
        <w:gridCol w:w="1586"/>
        <w:gridCol w:w="1587"/>
        <w:gridCol w:w="1587"/>
        <w:gridCol w:w="1587"/>
        <w:gridCol w:w="1587"/>
      </w:tblGrid>
      <w:tr w:rsidR="00422A9F" w:rsidRPr="007468B3" w:rsidTr="00422A9F">
        <w:tc>
          <w:tcPr>
            <w:tcW w:w="1637" w:type="dxa"/>
            <w:vMerge w:val="restart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Коэффициент</w:t>
            </w:r>
          </w:p>
        </w:tc>
        <w:tc>
          <w:tcPr>
            <w:tcW w:w="7934" w:type="dxa"/>
            <w:gridSpan w:val="5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Год</w:t>
            </w:r>
          </w:p>
        </w:tc>
      </w:tr>
      <w:tr w:rsidR="00422A9F" w:rsidRPr="007468B3" w:rsidTr="00422A9F">
        <w:tc>
          <w:tcPr>
            <w:tcW w:w="1637" w:type="dxa"/>
            <w:vMerge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2008</w:t>
            </w:r>
          </w:p>
        </w:tc>
        <w:tc>
          <w:tcPr>
            <w:tcW w:w="1587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2009</w:t>
            </w:r>
          </w:p>
        </w:tc>
        <w:tc>
          <w:tcPr>
            <w:tcW w:w="1587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2010</w:t>
            </w:r>
          </w:p>
        </w:tc>
        <w:tc>
          <w:tcPr>
            <w:tcW w:w="1587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2011</w:t>
            </w:r>
          </w:p>
        </w:tc>
        <w:tc>
          <w:tcPr>
            <w:tcW w:w="1587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2012</w:t>
            </w:r>
          </w:p>
        </w:tc>
      </w:tr>
      <w:tr w:rsidR="00422A9F" w:rsidRPr="007468B3" w:rsidTr="00422A9F">
        <w:tc>
          <w:tcPr>
            <w:tcW w:w="1637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X1</w:t>
            </w:r>
          </w:p>
        </w:tc>
        <w:tc>
          <w:tcPr>
            <w:tcW w:w="1586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0,276588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0,361435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0,251919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0,18669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0,170409</w:t>
            </w:r>
          </w:p>
        </w:tc>
      </w:tr>
      <w:tr w:rsidR="00422A9F" w:rsidRPr="007468B3" w:rsidTr="00422A9F">
        <w:tc>
          <w:tcPr>
            <w:tcW w:w="1637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X2</w:t>
            </w:r>
          </w:p>
        </w:tc>
        <w:tc>
          <w:tcPr>
            <w:tcW w:w="1586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0,520954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1,89669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-0,12885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0,064372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0,030374</w:t>
            </w:r>
          </w:p>
        </w:tc>
      </w:tr>
      <w:tr w:rsidR="00422A9F" w:rsidRPr="007468B3" w:rsidTr="00422A9F">
        <w:tc>
          <w:tcPr>
            <w:tcW w:w="1637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X3</w:t>
            </w:r>
          </w:p>
        </w:tc>
        <w:tc>
          <w:tcPr>
            <w:tcW w:w="1586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0,067568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0,196506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0,046156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0,05941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0,001143</w:t>
            </w:r>
          </w:p>
        </w:tc>
      </w:tr>
      <w:tr w:rsidR="00422A9F" w:rsidRPr="007468B3" w:rsidTr="00422A9F">
        <w:tc>
          <w:tcPr>
            <w:tcW w:w="1637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X4</w:t>
            </w:r>
          </w:p>
        </w:tc>
        <w:tc>
          <w:tcPr>
            <w:tcW w:w="1586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0,024784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0,075484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-0,01769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0,004483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0,126214</w:t>
            </w:r>
          </w:p>
        </w:tc>
      </w:tr>
      <w:tr w:rsidR="00422A9F" w:rsidRPr="007468B3" w:rsidTr="00422A9F">
        <w:tc>
          <w:tcPr>
            <w:tcW w:w="1637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</w:p>
        </w:tc>
        <w:tc>
          <w:tcPr>
            <w:tcW w:w="1586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2,858021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4,983683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1,973576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1,634869</w:t>
            </w:r>
          </w:p>
        </w:tc>
        <w:tc>
          <w:tcPr>
            <w:tcW w:w="1587" w:type="dxa"/>
            <w:vAlign w:val="bottom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1,537981</w:t>
            </w:r>
          </w:p>
        </w:tc>
      </w:tr>
      <w:tr w:rsidR="00422A9F" w:rsidRPr="007468B3" w:rsidTr="00422A9F">
        <w:tc>
          <w:tcPr>
            <w:tcW w:w="1637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Вероятность банкротства</w:t>
            </w:r>
          </w:p>
        </w:tc>
        <w:tc>
          <w:tcPr>
            <w:tcW w:w="1586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Вне зоны банкротства</w:t>
            </w:r>
          </w:p>
        </w:tc>
        <w:tc>
          <w:tcPr>
            <w:tcW w:w="1587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Вне зоны банкротства</w:t>
            </w:r>
          </w:p>
        </w:tc>
        <w:tc>
          <w:tcPr>
            <w:tcW w:w="1587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Вне зоны банкротства</w:t>
            </w:r>
          </w:p>
        </w:tc>
        <w:tc>
          <w:tcPr>
            <w:tcW w:w="1587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Вне зоны банкротства</w:t>
            </w:r>
          </w:p>
        </w:tc>
        <w:tc>
          <w:tcPr>
            <w:tcW w:w="1587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Вне зоны банкротства</w:t>
            </w:r>
          </w:p>
        </w:tc>
      </w:tr>
    </w:tbl>
    <w:p w:rsidR="003F0C96" w:rsidRPr="003F0C96" w:rsidRDefault="003F0C96" w:rsidP="003F0C96">
      <w:pPr>
        <w:spacing w:after="120" w:line="240" w:lineRule="auto"/>
        <w:rPr>
          <w:rFonts w:asciiTheme="minorHAnsi" w:hAnsiTheme="minorHAnsi" w:cstheme="minorHAnsi"/>
          <w:sz w:val="22"/>
        </w:rPr>
      </w:pPr>
      <w:bookmarkStart w:id="6" w:name="_Toc357986720"/>
    </w:p>
    <w:p w:rsidR="003F0C96" w:rsidRDefault="003F0C96" w:rsidP="003F0C96">
      <w:pPr>
        <w:rPr>
          <w:rFonts w:eastAsia="Times New Roman"/>
          <w:color w:val="000000" w:themeColor="text1"/>
        </w:rPr>
      </w:pPr>
      <w:r>
        <w:rPr>
          <w:rFonts w:eastAsia="Times New Roman"/>
        </w:rPr>
        <w:br w:type="page"/>
      </w:r>
    </w:p>
    <w:p w:rsidR="00422A9F" w:rsidRPr="003F0C96" w:rsidRDefault="00422A9F" w:rsidP="003F0C96">
      <w:pPr>
        <w:pStyle w:val="3"/>
        <w:spacing w:before="0" w:after="120" w:line="240" w:lineRule="auto"/>
        <w:jc w:val="both"/>
        <w:rPr>
          <w:rFonts w:asciiTheme="minorHAnsi" w:eastAsia="Times New Roman" w:hAnsiTheme="minorHAnsi" w:cstheme="minorHAnsi"/>
          <w:sz w:val="24"/>
        </w:rPr>
      </w:pPr>
      <w:r w:rsidRPr="003F0C96">
        <w:rPr>
          <w:rFonts w:asciiTheme="minorHAnsi" w:eastAsia="Times New Roman" w:hAnsiTheme="minorHAnsi" w:cstheme="minorHAnsi"/>
          <w:sz w:val="24"/>
        </w:rPr>
        <w:lastRenderedPageBreak/>
        <w:t>Сравнительный анализ результатов расчета вероятности банкротства</w:t>
      </w:r>
      <w:bookmarkEnd w:id="6"/>
    </w:p>
    <w:p w:rsidR="00422A9F" w:rsidRPr="003F0C96" w:rsidRDefault="00422A9F" w:rsidP="003F0C96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3F0C96">
        <w:rPr>
          <w:rFonts w:asciiTheme="minorHAnsi" w:hAnsiTheme="minorHAnsi" w:cstheme="minorHAnsi"/>
          <w:sz w:val="22"/>
        </w:rPr>
        <w:t>Проведем сравнительный анализ результатов расчета вероятности банкротства ЗАО «Управление механизации №276» по описанным моделям. Рез</w:t>
      </w:r>
      <w:r w:rsidR="003F0C96">
        <w:rPr>
          <w:rFonts w:asciiTheme="minorHAnsi" w:hAnsiTheme="minorHAnsi" w:cstheme="minorHAnsi"/>
          <w:sz w:val="22"/>
        </w:rPr>
        <w:t>ультаты представлены в Таблице 6</w:t>
      </w:r>
      <w:r w:rsidRPr="003F0C96">
        <w:rPr>
          <w:rFonts w:asciiTheme="minorHAnsi" w:hAnsiTheme="minorHAnsi" w:cstheme="minorHAnsi"/>
          <w:sz w:val="22"/>
        </w:rPr>
        <w:t>.</w:t>
      </w:r>
    </w:p>
    <w:p w:rsidR="00422A9F" w:rsidRPr="003F0C96" w:rsidRDefault="003F0C96" w:rsidP="003F0C96">
      <w:pPr>
        <w:spacing w:after="12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Таблица 6</w:t>
      </w:r>
      <w:r w:rsidR="00422A9F" w:rsidRPr="003F0C96">
        <w:rPr>
          <w:rFonts w:asciiTheme="minorHAnsi" w:hAnsiTheme="minorHAnsi" w:cstheme="minorHAnsi"/>
          <w:b/>
          <w:sz w:val="22"/>
        </w:rPr>
        <w:t>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422A9F" w:rsidRPr="003F0C96">
        <w:rPr>
          <w:rFonts w:asciiTheme="minorHAnsi" w:hAnsiTheme="minorHAnsi" w:cstheme="minorHAnsi"/>
          <w:b/>
          <w:sz w:val="22"/>
        </w:rPr>
        <w:t xml:space="preserve">Сравнение результатов </w:t>
      </w:r>
      <w:r>
        <w:rPr>
          <w:rFonts w:asciiTheme="minorHAnsi" w:hAnsiTheme="minorHAnsi" w:cstheme="minorHAnsi"/>
          <w:b/>
          <w:sz w:val="22"/>
        </w:rPr>
        <w:t>расчета вероятности банкротства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422A9F" w:rsidRPr="003F0C96" w:rsidTr="003F0C96">
        <w:tc>
          <w:tcPr>
            <w:tcW w:w="1594" w:type="dxa"/>
            <w:vMerge w:val="restart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7976" w:type="dxa"/>
            <w:gridSpan w:val="5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Вероятность банкротства</w:t>
            </w:r>
          </w:p>
        </w:tc>
      </w:tr>
      <w:tr w:rsidR="00422A9F" w:rsidRPr="003F0C96" w:rsidTr="003F0C96">
        <w:tc>
          <w:tcPr>
            <w:tcW w:w="1594" w:type="dxa"/>
            <w:vMerge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2008</w:t>
            </w:r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2009</w:t>
            </w:r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2010</w:t>
            </w:r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2011</w:t>
            </w:r>
          </w:p>
        </w:tc>
        <w:tc>
          <w:tcPr>
            <w:tcW w:w="1596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2012</w:t>
            </w:r>
          </w:p>
        </w:tc>
      </w:tr>
      <w:tr w:rsidR="00422A9F" w:rsidRPr="003F0C96" w:rsidTr="003F0C96">
        <w:tc>
          <w:tcPr>
            <w:tcW w:w="1594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Альтмана</w:t>
            </w:r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высокая</w:t>
            </w:r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высокая</w:t>
            </w:r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высокая</w:t>
            </w:r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высокая</w:t>
            </w:r>
          </w:p>
        </w:tc>
        <w:tc>
          <w:tcPr>
            <w:tcW w:w="1596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высокая</w:t>
            </w:r>
          </w:p>
        </w:tc>
      </w:tr>
      <w:tr w:rsidR="00422A9F" w:rsidRPr="003F0C96" w:rsidTr="003F0C96">
        <w:tc>
          <w:tcPr>
            <w:tcW w:w="1594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Таффлера</w:t>
            </w:r>
            <w:proofErr w:type="spellEnd"/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неопределенно</w:t>
            </w:r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неопределенно</w:t>
            </w:r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неопределенно</w:t>
            </w:r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неопределенно</w:t>
            </w:r>
          </w:p>
        </w:tc>
        <w:tc>
          <w:tcPr>
            <w:tcW w:w="1596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неопределенно</w:t>
            </w:r>
          </w:p>
        </w:tc>
      </w:tr>
      <w:tr w:rsidR="00422A9F" w:rsidRPr="003F0C96" w:rsidTr="003F0C96">
        <w:tc>
          <w:tcPr>
            <w:tcW w:w="1594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Бивера</w:t>
            </w:r>
            <w:proofErr w:type="spellEnd"/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За год до банкротства</w:t>
            </w:r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За год до банкротства</w:t>
            </w:r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За год до банкротства</w:t>
            </w:r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За год до банкротства</w:t>
            </w:r>
          </w:p>
        </w:tc>
        <w:tc>
          <w:tcPr>
            <w:tcW w:w="1596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За год до банкротства</w:t>
            </w:r>
          </w:p>
        </w:tc>
      </w:tr>
      <w:tr w:rsidR="00422A9F" w:rsidRPr="003F0C96" w:rsidTr="003F0C96">
        <w:tc>
          <w:tcPr>
            <w:tcW w:w="1594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Иркутская</w:t>
            </w:r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Вне зоны банкротства</w:t>
            </w:r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Вне зоны банкротства</w:t>
            </w:r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Вне зоны банкротства</w:t>
            </w:r>
          </w:p>
        </w:tc>
        <w:tc>
          <w:tcPr>
            <w:tcW w:w="1595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Вне зоны банкротства</w:t>
            </w:r>
          </w:p>
        </w:tc>
        <w:tc>
          <w:tcPr>
            <w:tcW w:w="1596" w:type="dxa"/>
          </w:tcPr>
          <w:p w:rsidR="00422A9F" w:rsidRPr="003F0C96" w:rsidRDefault="00422A9F" w:rsidP="003F0C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Вне зоны банкротства</w:t>
            </w:r>
          </w:p>
        </w:tc>
      </w:tr>
    </w:tbl>
    <w:p w:rsidR="00422A9F" w:rsidRPr="003F0C96" w:rsidRDefault="00422A9F" w:rsidP="003F0C96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</w:p>
    <w:p w:rsidR="00422A9F" w:rsidRPr="003F0C96" w:rsidRDefault="00422A9F" w:rsidP="003F0C96">
      <w:pPr>
        <w:spacing w:after="120" w:line="240" w:lineRule="auto"/>
        <w:ind w:firstLine="709"/>
        <w:rPr>
          <w:rFonts w:asciiTheme="minorHAnsi" w:hAnsiTheme="minorHAnsi" w:cstheme="minorHAnsi"/>
          <w:sz w:val="22"/>
        </w:rPr>
      </w:pPr>
      <w:r w:rsidRPr="003F0C96">
        <w:rPr>
          <w:rFonts w:asciiTheme="minorHAnsi" w:hAnsiTheme="minorHAnsi" w:cstheme="minorHAnsi"/>
          <w:sz w:val="22"/>
        </w:rPr>
        <w:t xml:space="preserve">Из таблицы можно сделать вывод, что на протяжении всего исследуемого периода (с 2008 по 2012 года), по </w:t>
      </w:r>
      <w:r w:rsidR="003F0C96">
        <w:rPr>
          <w:rFonts w:asciiTheme="minorHAnsi" w:hAnsiTheme="minorHAnsi" w:cstheme="minorHAnsi"/>
          <w:sz w:val="22"/>
        </w:rPr>
        <w:t>двум</w:t>
      </w:r>
      <w:r w:rsidRPr="003F0C96">
        <w:rPr>
          <w:rFonts w:asciiTheme="minorHAnsi" w:hAnsiTheme="minorHAnsi" w:cstheme="minorHAnsi"/>
          <w:sz w:val="22"/>
        </w:rPr>
        <w:t xml:space="preserve"> описанным методикам (Альтмана, </w:t>
      </w:r>
      <w:proofErr w:type="spellStart"/>
      <w:r w:rsidRPr="003F0C96">
        <w:rPr>
          <w:rFonts w:asciiTheme="minorHAnsi" w:hAnsiTheme="minorHAnsi" w:cstheme="minorHAnsi"/>
          <w:sz w:val="22"/>
        </w:rPr>
        <w:t>Бивера</w:t>
      </w:r>
      <w:proofErr w:type="spellEnd"/>
      <w:r w:rsidRPr="003F0C96">
        <w:rPr>
          <w:rFonts w:asciiTheme="minorHAnsi" w:hAnsiTheme="minorHAnsi" w:cstheme="minorHAnsi"/>
          <w:sz w:val="22"/>
        </w:rPr>
        <w:t xml:space="preserve">) компания имела высокую вероятность банкротства. По модели </w:t>
      </w:r>
      <w:proofErr w:type="spellStart"/>
      <w:r w:rsidRPr="003F0C96">
        <w:rPr>
          <w:rFonts w:asciiTheme="minorHAnsi" w:hAnsiTheme="minorHAnsi" w:cstheme="minorHAnsi"/>
          <w:sz w:val="22"/>
        </w:rPr>
        <w:t>Таффлера</w:t>
      </w:r>
      <w:proofErr w:type="spellEnd"/>
      <w:r w:rsidRPr="003F0C96">
        <w:rPr>
          <w:rFonts w:asciiTheme="minorHAnsi" w:hAnsiTheme="minorHAnsi" w:cstheme="minorHAnsi"/>
          <w:sz w:val="22"/>
        </w:rPr>
        <w:t xml:space="preserve"> компания попала в зону неопределенности (значение коэффициента больше </w:t>
      </w:r>
      <w:proofErr w:type="gramStart"/>
      <w:r w:rsidRPr="003F0C96">
        <w:rPr>
          <w:rFonts w:asciiTheme="minorHAnsi" w:hAnsiTheme="minorHAnsi" w:cstheme="minorHAnsi"/>
          <w:sz w:val="22"/>
        </w:rPr>
        <w:t>0,2</w:t>
      </w:r>
      <w:proofErr w:type="gramEnd"/>
      <w:r w:rsidRPr="003F0C96">
        <w:rPr>
          <w:rFonts w:asciiTheme="minorHAnsi" w:hAnsiTheme="minorHAnsi" w:cstheme="minorHAnsi"/>
          <w:sz w:val="22"/>
        </w:rPr>
        <w:t xml:space="preserve"> но меньше 0,3), но ближе к высокой вероятности банкротства. Только по модели Иркутской государственной экономической академии компания находится вне зоны банкротства. Поэтому, можно считать, что описанные модели показали похожие, но не абсолютно идентичные результаты.</w:t>
      </w:r>
    </w:p>
    <w:p w:rsidR="003F0C96" w:rsidRDefault="003F0C96">
      <w:pPr>
        <w:spacing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422A9F" w:rsidRPr="003F0C96" w:rsidRDefault="00422A9F" w:rsidP="003F0C9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7" w:name="_Toc357986733"/>
      <w:r w:rsidRPr="003F0C96">
        <w:rPr>
          <w:rFonts w:asciiTheme="minorHAnsi" w:hAnsiTheme="minorHAnsi" w:cstheme="minorHAnsi"/>
          <w:sz w:val="20"/>
          <w:szCs w:val="20"/>
        </w:rPr>
        <w:lastRenderedPageBreak/>
        <w:t>ПРИЛОЖЕНИЯ</w:t>
      </w:r>
      <w:bookmarkEnd w:id="7"/>
    </w:p>
    <w:p w:rsidR="003F0C96" w:rsidRDefault="003F0C96" w:rsidP="003F0C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8" w:name="_Toc357986734"/>
    </w:p>
    <w:p w:rsidR="00422A9F" w:rsidRPr="003F0C96" w:rsidRDefault="00422A9F" w:rsidP="003F0C9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F0C96">
        <w:rPr>
          <w:rFonts w:asciiTheme="minorHAnsi" w:hAnsiTheme="minorHAnsi" w:cstheme="minorHAnsi"/>
          <w:b/>
          <w:sz w:val="20"/>
          <w:szCs w:val="20"/>
        </w:rPr>
        <w:t>Приложение 1</w:t>
      </w:r>
      <w:bookmarkEnd w:id="8"/>
      <w:r w:rsidR="003F0C96" w:rsidRPr="003F0C9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3F0C96">
        <w:rPr>
          <w:rFonts w:asciiTheme="minorHAnsi" w:hAnsiTheme="minorHAnsi" w:cstheme="minorHAnsi"/>
          <w:b/>
          <w:sz w:val="20"/>
          <w:szCs w:val="20"/>
        </w:rPr>
        <w:t>Агрегированный бухгалтерский баланс ЗАО «Управление механизации №276» за период с 2008 по 2012 года (Актив) 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5"/>
        <w:gridCol w:w="1134"/>
        <w:gridCol w:w="1134"/>
        <w:gridCol w:w="1134"/>
        <w:gridCol w:w="1134"/>
        <w:gridCol w:w="1099"/>
      </w:tblGrid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Статья баланса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2008 г.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2009 г.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2010 г.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2011 г.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2012 г.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Актив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proofErr w:type="spellStart"/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Внеоборотные</w:t>
            </w:r>
            <w:proofErr w:type="spellEnd"/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активы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Нематериальные активы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Основные средства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19941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13488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9605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15446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11687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591874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397004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487894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524278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622518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2807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8169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2477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3016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 xml:space="preserve">Прочие </w:t>
            </w:r>
            <w:proofErr w:type="spellStart"/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внеоборотные</w:t>
            </w:r>
            <w:proofErr w:type="spellEnd"/>
            <w:r w:rsidRPr="003F0C96">
              <w:rPr>
                <w:rFonts w:asciiTheme="minorHAnsi" w:hAnsiTheme="minorHAnsi" w:cstheme="minorHAnsi"/>
                <w:sz w:val="20"/>
                <w:szCs w:val="20"/>
              </w:rPr>
              <w:t xml:space="preserve"> активы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Итого по разделу 1: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614622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418661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498243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542201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637220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2. Оборотные активы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Запасы: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21795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33217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24342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23560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23560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563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686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1877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2376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211605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200871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143296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98246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104523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Денежные средства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2193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341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435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435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Итого по разделу 2: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234993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236967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167785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124459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130894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БАЛАНС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849615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655628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666028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666660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768115</w:t>
            </w:r>
          </w:p>
        </w:tc>
      </w:tr>
    </w:tbl>
    <w:p w:rsidR="003F0C96" w:rsidRDefault="003F0C96" w:rsidP="003F0C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F0C96" w:rsidRDefault="003F0C96" w:rsidP="003F0C96">
      <w:r>
        <w:br w:type="page"/>
      </w:r>
    </w:p>
    <w:p w:rsidR="00422A9F" w:rsidRPr="003F0C96" w:rsidRDefault="00422A9F" w:rsidP="003F0C9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9" w:name="_Toc357986735"/>
      <w:r w:rsidRPr="003F0C96">
        <w:rPr>
          <w:rFonts w:asciiTheme="minorHAnsi" w:hAnsiTheme="minorHAnsi" w:cstheme="minorHAnsi"/>
          <w:b/>
          <w:sz w:val="20"/>
          <w:szCs w:val="20"/>
        </w:rPr>
        <w:lastRenderedPageBreak/>
        <w:t>Приложение 2</w:t>
      </w:r>
      <w:bookmarkEnd w:id="9"/>
      <w:r w:rsidR="003F0C96" w:rsidRPr="003F0C9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3F0C96">
        <w:rPr>
          <w:rFonts w:asciiTheme="minorHAnsi" w:hAnsiTheme="minorHAnsi" w:cstheme="minorHAnsi"/>
          <w:b/>
          <w:sz w:val="20"/>
          <w:szCs w:val="20"/>
        </w:rPr>
        <w:t>Агрегированный бухгалтерский баланс (Пассив) 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5"/>
        <w:gridCol w:w="1134"/>
        <w:gridCol w:w="1134"/>
        <w:gridCol w:w="1134"/>
        <w:gridCol w:w="1134"/>
        <w:gridCol w:w="1099"/>
      </w:tblGrid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Статья баланса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2008 г.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2009 г.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2010 г.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2011 г.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2012 г.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Пассив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3. Капитал и резервы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Уставный капитал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1343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1343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1343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1343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1343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Добавочный капитал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Резервный капитал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1592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3642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3073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1562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1653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Итого по разделу 3: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2935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4985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4416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2905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2996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4. Долгосрочные обязательства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Займы и кредиты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7312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7660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1135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2198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2198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Прочие долгосрочные пассивы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Итого по разделу 4: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7312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7660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1135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2198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2198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5. Краткосрочные обязательства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Займы и кредиты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833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1145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795256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608870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626364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626611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727663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Задолженность участникам (учредителям) по выплате доходов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Резервы предстоящих расходов и платежей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34113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34113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34113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34113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34113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Прочие краткосрочные пассивы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Итого по разделу 5: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839369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642983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660477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661557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762921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БАЛАНС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849615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655628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666028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666660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768115</w:t>
            </w:r>
          </w:p>
        </w:tc>
      </w:tr>
    </w:tbl>
    <w:p w:rsidR="003F0C96" w:rsidRDefault="003F0C96" w:rsidP="003F0C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10" w:name="_Toc357986736"/>
    </w:p>
    <w:p w:rsidR="003F0C96" w:rsidRDefault="003F0C96" w:rsidP="003F0C96">
      <w:r>
        <w:br w:type="page"/>
      </w:r>
    </w:p>
    <w:p w:rsidR="00422A9F" w:rsidRPr="003F0C96" w:rsidRDefault="00422A9F" w:rsidP="003F0C9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F0C96">
        <w:rPr>
          <w:rFonts w:asciiTheme="minorHAnsi" w:hAnsiTheme="minorHAnsi" w:cstheme="minorHAnsi"/>
          <w:b/>
          <w:sz w:val="20"/>
          <w:szCs w:val="20"/>
        </w:rPr>
        <w:lastRenderedPageBreak/>
        <w:t>Приложение 3</w:t>
      </w:r>
      <w:bookmarkEnd w:id="10"/>
      <w:r w:rsidR="003F0C96" w:rsidRPr="003F0C9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3F0C96">
        <w:rPr>
          <w:rFonts w:asciiTheme="minorHAnsi" w:hAnsiTheme="minorHAnsi" w:cstheme="minorHAnsi"/>
          <w:b/>
          <w:sz w:val="20"/>
          <w:szCs w:val="20"/>
        </w:rPr>
        <w:t>Отчет о прибылях и убытках за период с 2008 по 2012 года 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5"/>
        <w:gridCol w:w="1134"/>
        <w:gridCol w:w="1134"/>
        <w:gridCol w:w="1134"/>
        <w:gridCol w:w="1134"/>
        <w:gridCol w:w="1099"/>
      </w:tblGrid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2008 г.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2009 г.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2010 г.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2011 г.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2012 г.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Доходы и расходы по обычным видам деятельности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Выручка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57407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128835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30741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39606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878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Себестоимость продаж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(56053)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(118537)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(28947)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(39025)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(642)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Валовая прибыль (убыток)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1354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10298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1794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581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236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Коммерческие расходы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Управленческие расходы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1354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10298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1794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581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236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Прочие доходы и расходы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Проценты к получению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Проценты к уплате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(33)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Прочие доходы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3007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173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(1437)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(863)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(802)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(148)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(89)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2924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9608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1098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446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114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2807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5705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2282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(3500)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(685)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(1135)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(1811)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Налог на прибыль и иные аналогичные обязательные платежи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(702)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(5173)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(1276)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(730)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sz w:val="20"/>
                <w:szCs w:val="20"/>
              </w:rPr>
              <w:t>(23)</w:t>
            </w:r>
          </w:p>
        </w:tc>
      </w:tr>
      <w:tr w:rsidR="00422A9F" w:rsidRPr="003F0C96" w:rsidTr="00422A9F">
        <w:tc>
          <w:tcPr>
            <w:tcW w:w="3936" w:type="dxa"/>
          </w:tcPr>
          <w:p w:rsidR="00422A9F" w:rsidRPr="003F0C96" w:rsidRDefault="00422A9F" w:rsidP="00422A9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Чистая прибыль (убыток) отчетного периода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1529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9455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(569)</w:t>
            </w:r>
          </w:p>
        </w:tc>
        <w:tc>
          <w:tcPr>
            <w:tcW w:w="1134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187</w:t>
            </w:r>
          </w:p>
        </w:tc>
        <w:tc>
          <w:tcPr>
            <w:tcW w:w="1099" w:type="dxa"/>
          </w:tcPr>
          <w:p w:rsidR="00422A9F" w:rsidRPr="003F0C96" w:rsidRDefault="00422A9F" w:rsidP="00422A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C96">
              <w:rPr>
                <w:rFonts w:asciiTheme="minorHAnsi" w:hAnsiTheme="minorHAnsi" w:cstheme="minorHAnsi"/>
                <w:b/>
                <w:sz w:val="20"/>
                <w:szCs w:val="20"/>
              </w:rPr>
              <w:t>91</w:t>
            </w:r>
          </w:p>
        </w:tc>
      </w:tr>
    </w:tbl>
    <w:p w:rsidR="007C136E" w:rsidRDefault="007C136E" w:rsidP="003F0C96"/>
    <w:sectPr w:rsidR="007C136E" w:rsidSect="00422A9F">
      <w:foot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51" w:rsidRDefault="006C1E51" w:rsidP="003F0C96">
      <w:pPr>
        <w:spacing w:after="0" w:line="240" w:lineRule="auto"/>
      </w:pPr>
      <w:r>
        <w:separator/>
      </w:r>
    </w:p>
  </w:endnote>
  <w:endnote w:type="continuationSeparator" w:id="0">
    <w:p w:rsidR="006C1E51" w:rsidRDefault="006C1E51" w:rsidP="003F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56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22A9F" w:rsidRPr="003F0C96" w:rsidRDefault="00422A9F" w:rsidP="003F0C96">
        <w:pPr>
          <w:pStyle w:val="ab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F0C9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F0C9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3F0C9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F0C96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3F0C9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51" w:rsidRDefault="006C1E51" w:rsidP="003F0C96">
      <w:pPr>
        <w:spacing w:after="0" w:line="240" w:lineRule="auto"/>
      </w:pPr>
      <w:r>
        <w:separator/>
      </w:r>
    </w:p>
  </w:footnote>
  <w:footnote w:type="continuationSeparator" w:id="0">
    <w:p w:rsidR="006C1E51" w:rsidRDefault="006C1E51" w:rsidP="003F0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D6"/>
    <w:multiLevelType w:val="hybridMultilevel"/>
    <w:tmpl w:val="C282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60BC"/>
    <w:multiLevelType w:val="hybridMultilevel"/>
    <w:tmpl w:val="9290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6D6B"/>
    <w:multiLevelType w:val="hybridMultilevel"/>
    <w:tmpl w:val="CD98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6A76"/>
    <w:multiLevelType w:val="hybridMultilevel"/>
    <w:tmpl w:val="F9D4E6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9E1E80"/>
    <w:multiLevelType w:val="hybridMultilevel"/>
    <w:tmpl w:val="8AAC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C64F5"/>
    <w:multiLevelType w:val="hybridMultilevel"/>
    <w:tmpl w:val="A6E2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04C3B"/>
    <w:multiLevelType w:val="hybridMultilevel"/>
    <w:tmpl w:val="45BE1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200E7"/>
    <w:multiLevelType w:val="hybridMultilevel"/>
    <w:tmpl w:val="9A3C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41514"/>
    <w:multiLevelType w:val="hybridMultilevel"/>
    <w:tmpl w:val="C038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A1CB9"/>
    <w:multiLevelType w:val="hybridMultilevel"/>
    <w:tmpl w:val="2B84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93844"/>
    <w:multiLevelType w:val="hybridMultilevel"/>
    <w:tmpl w:val="6CB6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A27B7"/>
    <w:multiLevelType w:val="hybridMultilevel"/>
    <w:tmpl w:val="AF0263D8"/>
    <w:lvl w:ilvl="0" w:tplc="BCF6A8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4B153EA"/>
    <w:multiLevelType w:val="hybridMultilevel"/>
    <w:tmpl w:val="E4CC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302E6"/>
    <w:multiLevelType w:val="hybridMultilevel"/>
    <w:tmpl w:val="B19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85F26"/>
    <w:multiLevelType w:val="hybridMultilevel"/>
    <w:tmpl w:val="DF069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82F76"/>
    <w:multiLevelType w:val="hybridMultilevel"/>
    <w:tmpl w:val="4BB6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93ED4"/>
    <w:multiLevelType w:val="hybridMultilevel"/>
    <w:tmpl w:val="F676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929E0"/>
    <w:multiLevelType w:val="hybridMultilevel"/>
    <w:tmpl w:val="6DCE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F0771"/>
    <w:multiLevelType w:val="hybridMultilevel"/>
    <w:tmpl w:val="6614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00264"/>
    <w:multiLevelType w:val="hybridMultilevel"/>
    <w:tmpl w:val="CE96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81D0C"/>
    <w:multiLevelType w:val="hybridMultilevel"/>
    <w:tmpl w:val="3140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87B7C"/>
    <w:multiLevelType w:val="hybridMultilevel"/>
    <w:tmpl w:val="CB10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13DD4"/>
    <w:multiLevelType w:val="hybridMultilevel"/>
    <w:tmpl w:val="7FF2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91999"/>
    <w:multiLevelType w:val="hybridMultilevel"/>
    <w:tmpl w:val="5CE8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5159D"/>
    <w:multiLevelType w:val="hybridMultilevel"/>
    <w:tmpl w:val="D362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014EA"/>
    <w:multiLevelType w:val="hybridMultilevel"/>
    <w:tmpl w:val="26C2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11000"/>
    <w:multiLevelType w:val="hybridMultilevel"/>
    <w:tmpl w:val="0FEC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812D1"/>
    <w:multiLevelType w:val="hybridMultilevel"/>
    <w:tmpl w:val="258E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E59C9"/>
    <w:multiLevelType w:val="hybridMultilevel"/>
    <w:tmpl w:val="66DC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90ED2"/>
    <w:multiLevelType w:val="hybridMultilevel"/>
    <w:tmpl w:val="85F4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52305A"/>
    <w:multiLevelType w:val="hybridMultilevel"/>
    <w:tmpl w:val="4A0AD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07FE6"/>
    <w:multiLevelType w:val="hybridMultilevel"/>
    <w:tmpl w:val="EDC4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15BF3"/>
    <w:multiLevelType w:val="hybridMultilevel"/>
    <w:tmpl w:val="898E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B5736"/>
    <w:multiLevelType w:val="hybridMultilevel"/>
    <w:tmpl w:val="D4EC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9586F"/>
    <w:multiLevelType w:val="hybridMultilevel"/>
    <w:tmpl w:val="BAFA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245D9"/>
    <w:multiLevelType w:val="hybridMultilevel"/>
    <w:tmpl w:val="9FA6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B722F"/>
    <w:multiLevelType w:val="hybridMultilevel"/>
    <w:tmpl w:val="9080F1CE"/>
    <w:lvl w:ilvl="0" w:tplc="041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>
    <w:nsid w:val="5E582E49"/>
    <w:multiLevelType w:val="hybridMultilevel"/>
    <w:tmpl w:val="58DC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15631F"/>
    <w:multiLevelType w:val="hybridMultilevel"/>
    <w:tmpl w:val="EF8C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2646E"/>
    <w:multiLevelType w:val="hybridMultilevel"/>
    <w:tmpl w:val="1E98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66C50"/>
    <w:multiLevelType w:val="hybridMultilevel"/>
    <w:tmpl w:val="2DE2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F0F99"/>
    <w:multiLevelType w:val="hybridMultilevel"/>
    <w:tmpl w:val="28AA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83EDA"/>
    <w:multiLevelType w:val="hybridMultilevel"/>
    <w:tmpl w:val="CC36E0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7346605"/>
    <w:multiLevelType w:val="hybridMultilevel"/>
    <w:tmpl w:val="2B28EAEA"/>
    <w:lvl w:ilvl="0" w:tplc="0A6E5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A75BC9"/>
    <w:multiLevelType w:val="hybridMultilevel"/>
    <w:tmpl w:val="F83E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D2CDF"/>
    <w:multiLevelType w:val="hybridMultilevel"/>
    <w:tmpl w:val="5B06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81C82"/>
    <w:multiLevelType w:val="hybridMultilevel"/>
    <w:tmpl w:val="BC8CC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525B2"/>
    <w:multiLevelType w:val="hybridMultilevel"/>
    <w:tmpl w:val="9792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84A37"/>
    <w:multiLevelType w:val="hybridMultilevel"/>
    <w:tmpl w:val="BB54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7"/>
  </w:num>
  <w:num w:numId="3">
    <w:abstractNumId w:val="38"/>
  </w:num>
  <w:num w:numId="4">
    <w:abstractNumId w:val="19"/>
  </w:num>
  <w:num w:numId="5">
    <w:abstractNumId w:val="43"/>
  </w:num>
  <w:num w:numId="6">
    <w:abstractNumId w:val="32"/>
  </w:num>
  <w:num w:numId="7">
    <w:abstractNumId w:val="37"/>
  </w:num>
  <w:num w:numId="8">
    <w:abstractNumId w:val="29"/>
  </w:num>
  <w:num w:numId="9">
    <w:abstractNumId w:val="39"/>
  </w:num>
  <w:num w:numId="10">
    <w:abstractNumId w:val="17"/>
  </w:num>
  <w:num w:numId="11">
    <w:abstractNumId w:val="46"/>
  </w:num>
  <w:num w:numId="12">
    <w:abstractNumId w:val="48"/>
  </w:num>
  <w:num w:numId="13">
    <w:abstractNumId w:val="34"/>
  </w:num>
  <w:num w:numId="14">
    <w:abstractNumId w:val="21"/>
  </w:num>
  <w:num w:numId="15">
    <w:abstractNumId w:val="1"/>
  </w:num>
  <w:num w:numId="16">
    <w:abstractNumId w:val="25"/>
  </w:num>
  <w:num w:numId="17">
    <w:abstractNumId w:val="44"/>
  </w:num>
  <w:num w:numId="18">
    <w:abstractNumId w:val="8"/>
  </w:num>
  <w:num w:numId="19">
    <w:abstractNumId w:val="6"/>
  </w:num>
  <w:num w:numId="20">
    <w:abstractNumId w:val="31"/>
  </w:num>
  <w:num w:numId="21">
    <w:abstractNumId w:val="22"/>
  </w:num>
  <w:num w:numId="22">
    <w:abstractNumId w:val="28"/>
  </w:num>
  <w:num w:numId="23">
    <w:abstractNumId w:val="40"/>
  </w:num>
  <w:num w:numId="24">
    <w:abstractNumId w:val="14"/>
  </w:num>
  <w:num w:numId="25">
    <w:abstractNumId w:val="13"/>
  </w:num>
  <w:num w:numId="26">
    <w:abstractNumId w:val="41"/>
  </w:num>
  <w:num w:numId="27">
    <w:abstractNumId w:val="23"/>
  </w:num>
  <w:num w:numId="28">
    <w:abstractNumId w:val="11"/>
  </w:num>
  <w:num w:numId="29">
    <w:abstractNumId w:val="9"/>
  </w:num>
  <w:num w:numId="30">
    <w:abstractNumId w:val="45"/>
  </w:num>
  <w:num w:numId="31">
    <w:abstractNumId w:val="4"/>
  </w:num>
  <w:num w:numId="32">
    <w:abstractNumId w:val="24"/>
  </w:num>
  <w:num w:numId="33">
    <w:abstractNumId w:val="20"/>
  </w:num>
  <w:num w:numId="34">
    <w:abstractNumId w:val="18"/>
  </w:num>
  <w:num w:numId="35">
    <w:abstractNumId w:val="33"/>
  </w:num>
  <w:num w:numId="36">
    <w:abstractNumId w:val="2"/>
  </w:num>
  <w:num w:numId="37">
    <w:abstractNumId w:val="12"/>
  </w:num>
  <w:num w:numId="38">
    <w:abstractNumId w:val="10"/>
  </w:num>
  <w:num w:numId="39">
    <w:abstractNumId w:val="27"/>
  </w:num>
  <w:num w:numId="40">
    <w:abstractNumId w:val="0"/>
  </w:num>
  <w:num w:numId="41">
    <w:abstractNumId w:val="26"/>
  </w:num>
  <w:num w:numId="42">
    <w:abstractNumId w:val="7"/>
  </w:num>
  <w:num w:numId="43">
    <w:abstractNumId w:val="5"/>
  </w:num>
  <w:num w:numId="44">
    <w:abstractNumId w:val="30"/>
  </w:num>
  <w:num w:numId="45">
    <w:abstractNumId w:val="35"/>
  </w:num>
  <w:num w:numId="46">
    <w:abstractNumId w:val="3"/>
  </w:num>
  <w:num w:numId="47">
    <w:abstractNumId w:val="36"/>
  </w:num>
  <w:num w:numId="48">
    <w:abstractNumId w:val="42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9F"/>
    <w:rsid w:val="00153229"/>
    <w:rsid w:val="003F0C96"/>
    <w:rsid w:val="00422A9F"/>
    <w:rsid w:val="004A231A"/>
    <w:rsid w:val="006C1E51"/>
    <w:rsid w:val="007C136E"/>
    <w:rsid w:val="00C4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9F"/>
    <w:pPr>
      <w:spacing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A9F"/>
    <w:pPr>
      <w:keepNext/>
      <w:keepLines/>
      <w:spacing w:before="60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A9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A9F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A9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A9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A9F"/>
    <w:rPr>
      <w:rFonts w:ascii="Times New Roman" w:eastAsiaTheme="majorEastAsia" w:hAnsi="Times New Roman" w:cstheme="majorBidi"/>
      <w:b/>
      <w:bCs/>
      <w:color w:val="000000" w:themeColor="text1"/>
      <w:sz w:val="28"/>
      <w:lang w:eastAsia="ru-RU"/>
    </w:rPr>
  </w:style>
  <w:style w:type="character" w:styleId="a3">
    <w:name w:val="Hyperlink"/>
    <w:basedOn w:val="a0"/>
    <w:uiPriority w:val="99"/>
    <w:unhideWhenUsed/>
    <w:rsid w:val="00422A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2A9F"/>
    <w:pPr>
      <w:spacing w:before="120"/>
      <w:ind w:left="720"/>
      <w:contextualSpacing/>
    </w:pPr>
  </w:style>
  <w:style w:type="table" w:styleId="a5">
    <w:name w:val="Table Grid"/>
    <w:basedOn w:val="a1"/>
    <w:uiPriority w:val="59"/>
    <w:rsid w:val="00422A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22A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A9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422A9F"/>
    <w:rPr>
      <w:rFonts w:ascii="Times New Roman" w:eastAsiaTheme="minorEastAsia" w:hAnsi="Times New Roman"/>
      <w:sz w:val="28"/>
      <w:lang w:eastAsia="ru-RU"/>
    </w:rPr>
  </w:style>
  <w:style w:type="paragraph" w:styleId="aa">
    <w:name w:val="header"/>
    <w:basedOn w:val="a"/>
    <w:link w:val="a9"/>
    <w:uiPriority w:val="99"/>
    <w:unhideWhenUsed/>
    <w:rsid w:val="00422A9F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42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2A9F"/>
    <w:rPr>
      <w:rFonts w:ascii="Times New Roman" w:eastAsiaTheme="minorEastAsia" w:hAnsi="Times New Roman"/>
      <w:sz w:val="28"/>
      <w:lang w:eastAsia="ru-RU"/>
    </w:rPr>
  </w:style>
  <w:style w:type="paragraph" w:customStyle="1" w:styleId="iditems">
    <w:name w:val="iditems"/>
    <w:basedOn w:val="a"/>
    <w:rsid w:val="00422A9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2A9F"/>
  </w:style>
  <w:style w:type="paragraph" w:styleId="ad">
    <w:name w:val="footnote text"/>
    <w:basedOn w:val="a"/>
    <w:link w:val="ae"/>
    <w:semiHidden/>
    <w:rsid w:val="00422A9F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2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422A9F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22A9F"/>
    <w:pPr>
      <w:tabs>
        <w:tab w:val="right" w:leader="dot" w:pos="9345"/>
      </w:tabs>
      <w:spacing w:after="0" w:line="276" w:lineRule="auto"/>
    </w:pPr>
  </w:style>
  <w:style w:type="paragraph" w:styleId="21">
    <w:name w:val="toc 2"/>
    <w:basedOn w:val="a"/>
    <w:next w:val="a"/>
    <w:autoRedefine/>
    <w:uiPriority w:val="39"/>
    <w:unhideWhenUsed/>
    <w:rsid w:val="00422A9F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422A9F"/>
    <w:pPr>
      <w:tabs>
        <w:tab w:val="right" w:leader="dot" w:pos="9345"/>
      </w:tabs>
      <w:spacing w:after="0" w:line="276" w:lineRule="auto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9F"/>
    <w:pPr>
      <w:spacing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A9F"/>
    <w:pPr>
      <w:keepNext/>
      <w:keepLines/>
      <w:spacing w:before="60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A9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A9F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A9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A9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A9F"/>
    <w:rPr>
      <w:rFonts w:ascii="Times New Roman" w:eastAsiaTheme="majorEastAsia" w:hAnsi="Times New Roman" w:cstheme="majorBidi"/>
      <w:b/>
      <w:bCs/>
      <w:color w:val="000000" w:themeColor="text1"/>
      <w:sz w:val="28"/>
      <w:lang w:eastAsia="ru-RU"/>
    </w:rPr>
  </w:style>
  <w:style w:type="character" w:styleId="a3">
    <w:name w:val="Hyperlink"/>
    <w:basedOn w:val="a0"/>
    <w:uiPriority w:val="99"/>
    <w:unhideWhenUsed/>
    <w:rsid w:val="00422A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2A9F"/>
    <w:pPr>
      <w:spacing w:before="120"/>
      <w:ind w:left="720"/>
      <w:contextualSpacing/>
    </w:pPr>
  </w:style>
  <w:style w:type="table" w:styleId="a5">
    <w:name w:val="Table Grid"/>
    <w:basedOn w:val="a1"/>
    <w:uiPriority w:val="59"/>
    <w:rsid w:val="00422A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22A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A9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422A9F"/>
    <w:rPr>
      <w:rFonts w:ascii="Times New Roman" w:eastAsiaTheme="minorEastAsia" w:hAnsi="Times New Roman"/>
      <w:sz w:val="28"/>
      <w:lang w:eastAsia="ru-RU"/>
    </w:rPr>
  </w:style>
  <w:style w:type="paragraph" w:styleId="aa">
    <w:name w:val="header"/>
    <w:basedOn w:val="a"/>
    <w:link w:val="a9"/>
    <w:uiPriority w:val="99"/>
    <w:unhideWhenUsed/>
    <w:rsid w:val="00422A9F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42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2A9F"/>
    <w:rPr>
      <w:rFonts w:ascii="Times New Roman" w:eastAsiaTheme="minorEastAsia" w:hAnsi="Times New Roman"/>
      <w:sz w:val="28"/>
      <w:lang w:eastAsia="ru-RU"/>
    </w:rPr>
  </w:style>
  <w:style w:type="paragraph" w:customStyle="1" w:styleId="iditems">
    <w:name w:val="iditems"/>
    <w:basedOn w:val="a"/>
    <w:rsid w:val="00422A9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2A9F"/>
  </w:style>
  <w:style w:type="paragraph" w:styleId="ad">
    <w:name w:val="footnote text"/>
    <w:basedOn w:val="a"/>
    <w:link w:val="ae"/>
    <w:semiHidden/>
    <w:rsid w:val="00422A9F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2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422A9F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22A9F"/>
    <w:pPr>
      <w:tabs>
        <w:tab w:val="right" w:leader="dot" w:pos="9345"/>
      </w:tabs>
      <w:spacing w:after="0" w:line="276" w:lineRule="auto"/>
    </w:pPr>
  </w:style>
  <w:style w:type="paragraph" w:styleId="21">
    <w:name w:val="toc 2"/>
    <w:basedOn w:val="a"/>
    <w:next w:val="a"/>
    <w:autoRedefine/>
    <w:uiPriority w:val="39"/>
    <w:unhideWhenUsed/>
    <w:rsid w:val="00422A9F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422A9F"/>
    <w:pPr>
      <w:tabs>
        <w:tab w:val="right" w:leader="dot" w:pos="9345"/>
      </w:tabs>
      <w:spacing w:after="0" w:line="276" w:lineRule="auto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6839715377783"/>
          <c:y val="4.2824699544137042E-2"/>
          <c:w val="0.53059489236850554"/>
          <c:h val="0.6941516784086277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Внеоборотные активы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Лист1!$B$2:$B$6</c:f>
              <c:numCache>
                <c:formatCode>#,##0</c:formatCode>
                <c:ptCount val="5"/>
                <c:pt idx="0">
                  <c:v>614622</c:v>
                </c:pt>
                <c:pt idx="1">
                  <c:v>418661</c:v>
                </c:pt>
                <c:pt idx="2">
                  <c:v>498243</c:v>
                </c:pt>
                <c:pt idx="3">
                  <c:v>542201</c:v>
                </c:pt>
                <c:pt idx="4">
                  <c:v>637220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Оборотные активы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Лист1!$C$2:$C$6</c:f>
              <c:numCache>
                <c:formatCode>#,##0</c:formatCode>
                <c:ptCount val="5"/>
                <c:pt idx="0">
                  <c:v>234993</c:v>
                </c:pt>
                <c:pt idx="1">
                  <c:v>236967</c:v>
                </c:pt>
                <c:pt idx="2">
                  <c:v>167785</c:v>
                </c:pt>
                <c:pt idx="3">
                  <c:v>124459</c:v>
                </c:pt>
                <c:pt idx="4">
                  <c:v>130894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1297536"/>
        <c:axId val="181299456"/>
      </c:barChart>
      <c:catAx>
        <c:axId val="18129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1299456"/>
        <c:crosses val="autoZero"/>
        <c:auto val="1"/>
        <c:lblAlgn val="ctr"/>
        <c:lblOffset val="100"/>
        <c:noMultiLvlLbl val="0"/>
      </c:catAx>
      <c:valAx>
        <c:axId val="1812994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81297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Капитал и резервы</c:v>
                </c:pt>
                <c:pt idx="1">
                  <c:v>Долгосрочные обязательства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2935</c:v>
                </c:pt>
                <c:pt idx="1">
                  <c:v>7312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Капитал и резервы</c:v>
                </c:pt>
                <c:pt idx="1">
                  <c:v>Долгосрочные обязательства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4985</c:v>
                </c:pt>
                <c:pt idx="1">
                  <c:v>7660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Капитал и резервы</c:v>
                </c:pt>
                <c:pt idx="1">
                  <c:v>Долгосрочные обязательства</c:v>
                </c:pt>
              </c:strCache>
            </c:strRef>
          </c:cat>
          <c:val>
            <c:numRef>
              <c:f>Лист1!$D$2:$D$3</c:f>
              <c:numCache>
                <c:formatCode>#,##0</c:formatCode>
                <c:ptCount val="2"/>
                <c:pt idx="0">
                  <c:v>4416</c:v>
                </c:pt>
                <c:pt idx="1">
                  <c:v>1135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Капитал и резервы</c:v>
                </c:pt>
                <c:pt idx="1">
                  <c:v>Долгосрочные обязательства</c:v>
                </c:pt>
              </c:strCache>
            </c:strRef>
          </c:cat>
          <c:val>
            <c:numRef>
              <c:f>Лист1!$E$2:$E$3</c:f>
              <c:numCache>
                <c:formatCode>#,##0</c:formatCode>
                <c:ptCount val="2"/>
                <c:pt idx="0">
                  <c:v>2905</c:v>
                </c:pt>
                <c:pt idx="1">
                  <c:v>2198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Капитал и резервы</c:v>
                </c:pt>
                <c:pt idx="1">
                  <c:v>Долгосрочные обязательства</c:v>
                </c:pt>
              </c:strCache>
            </c:strRef>
          </c:cat>
          <c:val>
            <c:numRef>
              <c:f>Лист1!$F$2:$F$3</c:f>
              <c:numCache>
                <c:formatCode>#,##0</c:formatCode>
                <c:ptCount val="2"/>
                <c:pt idx="0">
                  <c:v>2996</c:v>
                </c:pt>
                <c:pt idx="1">
                  <c:v>2198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577664"/>
        <c:axId val="146579456"/>
      </c:barChart>
      <c:catAx>
        <c:axId val="14657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46579456"/>
        <c:crosses val="autoZero"/>
        <c:auto val="1"/>
        <c:lblAlgn val="ctr"/>
        <c:lblOffset val="100"/>
        <c:noMultiLvlLbl val="0"/>
      </c:catAx>
      <c:valAx>
        <c:axId val="1465794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6577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Краткосрочные обязательства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Лист1!$B$2:$B$6</c:f>
              <c:numCache>
                <c:formatCode>#,##0</c:formatCode>
                <c:ptCount val="5"/>
                <c:pt idx="0">
                  <c:v>839369</c:v>
                </c:pt>
                <c:pt idx="1">
                  <c:v>642983</c:v>
                </c:pt>
                <c:pt idx="2">
                  <c:v>660477</c:v>
                </c:pt>
                <c:pt idx="3">
                  <c:v>661557</c:v>
                </c:pt>
                <c:pt idx="4">
                  <c:v>762921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Ликвидные активы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Лист1!$C$2:$C$6</c:f>
              <c:numCache>
                <c:formatCode>#,##0</c:formatCode>
                <c:ptCount val="5"/>
                <c:pt idx="0">
                  <c:v>22825</c:v>
                </c:pt>
                <c:pt idx="1">
                  <c:v>35410</c:v>
                </c:pt>
                <c:pt idx="2">
                  <c:v>24342</c:v>
                </c:pt>
                <c:pt idx="3">
                  <c:v>23901</c:v>
                </c:pt>
                <c:pt idx="4">
                  <c:v>23560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6596224"/>
        <c:axId val="146597760"/>
      </c:barChart>
      <c:catAx>
        <c:axId val="14659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597760"/>
        <c:crosses val="autoZero"/>
        <c:auto val="1"/>
        <c:lblAlgn val="ctr"/>
        <c:lblOffset val="100"/>
        <c:noMultiLvlLbl val="0"/>
      </c:catAx>
      <c:valAx>
        <c:axId val="14659776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6596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Выручка</c:v>
                </c:pt>
                <c:pt idx="1">
                  <c:v>Себестоимость продаж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57407</c:v>
                </c:pt>
                <c:pt idx="1">
                  <c:v>56053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Выручка</c:v>
                </c:pt>
                <c:pt idx="1">
                  <c:v>Себестоимость продаж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128835</c:v>
                </c:pt>
                <c:pt idx="1">
                  <c:v>118537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Выручка</c:v>
                </c:pt>
                <c:pt idx="1">
                  <c:v>Себестоимость продаж</c:v>
                </c:pt>
              </c:strCache>
            </c:strRef>
          </c:cat>
          <c:val>
            <c:numRef>
              <c:f>Лист1!$D$2:$D$3</c:f>
              <c:numCache>
                <c:formatCode>#,##0</c:formatCode>
                <c:ptCount val="2"/>
                <c:pt idx="0">
                  <c:v>30741</c:v>
                </c:pt>
                <c:pt idx="1">
                  <c:v>28947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Выручка</c:v>
                </c:pt>
                <c:pt idx="1">
                  <c:v>Себестоимость продаж</c:v>
                </c:pt>
              </c:strCache>
            </c:strRef>
          </c:cat>
          <c:val>
            <c:numRef>
              <c:f>Лист1!$E$2:$E$3</c:f>
              <c:numCache>
                <c:formatCode>#,##0</c:formatCode>
                <c:ptCount val="2"/>
                <c:pt idx="0">
                  <c:v>39606</c:v>
                </c:pt>
                <c:pt idx="1">
                  <c:v>39025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Выручка</c:v>
                </c:pt>
                <c:pt idx="1">
                  <c:v>Себестоимость продаж</c:v>
                </c:pt>
              </c:strCache>
            </c:strRef>
          </c:cat>
          <c:val>
            <c:numRef>
              <c:f>Лист1!$F$2:$F$3</c:f>
              <c:numCache>
                <c:formatCode>#,##0</c:formatCode>
                <c:ptCount val="2"/>
                <c:pt idx="0">
                  <c:v>878</c:v>
                </c:pt>
                <c:pt idx="1">
                  <c:v>642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198720"/>
        <c:axId val="147200256"/>
      </c:barChart>
      <c:catAx>
        <c:axId val="14719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7200256"/>
        <c:crosses val="autoZero"/>
        <c:auto val="1"/>
        <c:lblAlgn val="ctr"/>
        <c:lblOffset val="100"/>
        <c:noMultiLvlLbl val="0"/>
      </c:catAx>
      <c:valAx>
        <c:axId val="1472002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7198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Прибыль от продаж</c:v>
                </c:pt>
                <c:pt idx="1">
                  <c:v>Чистая прибыль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1354</c:v>
                </c:pt>
                <c:pt idx="1">
                  <c:v>1529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Прибыль от продаж</c:v>
                </c:pt>
                <c:pt idx="1">
                  <c:v>Чистая прибыль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10298</c:v>
                </c:pt>
                <c:pt idx="1">
                  <c:v>9455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Прибыль от продаж</c:v>
                </c:pt>
                <c:pt idx="1">
                  <c:v>Чистая прибыль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1794</c:v>
                </c:pt>
                <c:pt idx="1">
                  <c:v>-596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Прибыль от продаж</c:v>
                </c:pt>
                <c:pt idx="1">
                  <c:v>Чистая прибыль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581</c:v>
                </c:pt>
                <c:pt idx="1">
                  <c:v>187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Прибыль от продаж</c:v>
                </c:pt>
                <c:pt idx="1">
                  <c:v>Чистая прибыль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240064"/>
        <c:axId val="147241600"/>
      </c:barChart>
      <c:catAx>
        <c:axId val="14724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47241600"/>
        <c:crosses val="autoZero"/>
        <c:auto val="1"/>
        <c:lblAlgn val="ctr"/>
        <c:lblOffset val="100"/>
        <c:noMultiLvlLbl val="0"/>
      </c:catAx>
      <c:valAx>
        <c:axId val="14724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240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Batr Barvaev</dc:creator>
  <cp:lastModifiedBy>Batr Barvaev</cp:lastModifiedBy>
  <cp:revision>1</cp:revision>
  <dcterms:created xsi:type="dcterms:W3CDTF">2014-12-29T11:35:00Z</dcterms:created>
  <dcterms:modified xsi:type="dcterms:W3CDTF">2014-12-29T11:58:00Z</dcterms:modified>
</cp:coreProperties>
</file>